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A38" w:rsidRPr="001A5A38" w:rsidRDefault="001A5A38" w:rsidP="001A5A38">
      <w:pPr>
        <w:shd w:val="clear" w:color="auto" w:fill="F9F9F9"/>
        <w:spacing w:before="100" w:beforeAutospacing="1" w:after="120" w:line="240" w:lineRule="auto"/>
        <w:outlineLvl w:val="0"/>
        <w:rPr>
          <w:rFonts w:ascii="Arial" w:eastAsia="Times New Roman" w:hAnsi="Arial" w:cs="Arial"/>
          <w:b/>
          <w:bCs/>
          <w:color w:val="111111"/>
          <w:kern w:val="36"/>
          <w:sz w:val="20"/>
          <w:szCs w:val="20"/>
          <w:lang w:eastAsia="es-AR"/>
        </w:rPr>
      </w:pPr>
      <w:r w:rsidRPr="001A5A38">
        <w:rPr>
          <w:rFonts w:ascii="Arial" w:eastAsia="Times New Roman" w:hAnsi="Arial" w:cs="Arial"/>
          <w:b/>
          <w:bCs/>
          <w:color w:val="111111"/>
          <w:kern w:val="36"/>
          <w:sz w:val="20"/>
          <w:szCs w:val="20"/>
          <w:lang w:eastAsia="es-AR"/>
        </w:rPr>
        <w:t>SUPERINTENDENCIA DE RIESGOS DEL TRABAJO</w:t>
      </w:r>
      <w:bookmarkStart w:id="0" w:name="_GoBack"/>
      <w:bookmarkEnd w:id="0"/>
    </w:p>
    <w:p w:rsidR="001A5A38" w:rsidRPr="001A5A38" w:rsidRDefault="001A5A38" w:rsidP="001A5A38">
      <w:pPr>
        <w:shd w:val="clear" w:color="auto" w:fill="F9F9F9"/>
        <w:spacing w:before="375" w:after="120" w:line="240" w:lineRule="auto"/>
        <w:outlineLvl w:val="1"/>
        <w:rPr>
          <w:rFonts w:ascii="Arial" w:eastAsia="Times New Roman" w:hAnsi="Arial" w:cs="Arial"/>
          <w:b/>
          <w:bCs/>
          <w:color w:val="111111"/>
          <w:sz w:val="20"/>
          <w:szCs w:val="20"/>
          <w:lang w:eastAsia="es-AR"/>
        </w:rPr>
      </w:pPr>
      <w:r w:rsidRPr="001A5A38">
        <w:rPr>
          <w:rFonts w:ascii="Arial" w:eastAsia="Times New Roman" w:hAnsi="Arial" w:cs="Arial"/>
          <w:b/>
          <w:bCs/>
          <w:color w:val="111111"/>
          <w:sz w:val="20"/>
          <w:szCs w:val="20"/>
          <w:lang w:eastAsia="es-AR"/>
        </w:rPr>
        <w:t>Resolución 81/2019</w:t>
      </w:r>
    </w:p>
    <w:p w:rsidR="001A5A38" w:rsidRPr="001A5A38" w:rsidRDefault="001A5A38" w:rsidP="001A5A38">
      <w:pPr>
        <w:shd w:val="clear" w:color="auto" w:fill="F9F9F9"/>
        <w:spacing w:before="225" w:line="240" w:lineRule="auto"/>
        <w:outlineLvl w:val="5"/>
        <w:rPr>
          <w:rFonts w:ascii="Arial" w:eastAsia="Times New Roman" w:hAnsi="Arial" w:cs="Arial"/>
          <w:b/>
          <w:bCs/>
          <w:color w:val="666666"/>
          <w:sz w:val="20"/>
          <w:szCs w:val="20"/>
          <w:lang w:eastAsia="es-AR"/>
        </w:rPr>
      </w:pPr>
      <w:r w:rsidRPr="001A5A38">
        <w:rPr>
          <w:rFonts w:ascii="Arial" w:eastAsia="Times New Roman" w:hAnsi="Arial" w:cs="Arial"/>
          <w:b/>
          <w:bCs/>
          <w:color w:val="666666"/>
          <w:sz w:val="20"/>
          <w:szCs w:val="20"/>
          <w:lang w:eastAsia="es-AR"/>
        </w:rPr>
        <w:t>RESOL-2019-81-APN-SRT#MPYT</w:t>
      </w:r>
    </w:p>
    <w:p w:rsidR="001A5A38" w:rsidRPr="001A5A38" w:rsidRDefault="001A5A38" w:rsidP="001A5A38">
      <w:pPr>
        <w:shd w:val="clear" w:color="auto" w:fill="F9F9F9"/>
        <w:spacing w:after="360" w:line="240" w:lineRule="auto"/>
        <w:jc w:val="both"/>
        <w:rPr>
          <w:rFonts w:ascii="Arial" w:eastAsia="Times New Roman" w:hAnsi="Arial" w:cs="Arial"/>
          <w:color w:val="111111"/>
          <w:sz w:val="20"/>
          <w:szCs w:val="20"/>
          <w:lang w:eastAsia="es-AR"/>
        </w:rPr>
      </w:pPr>
      <w:r w:rsidRPr="001A5A38">
        <w:rPr>
          <w:rFonts w:ascii="Arial" w:eastAsia="Times New Roman" w:hAnsi="Arial" w:cs="Arial"/>
          <w:color w:val="111111"/>
          <w:sz w:val="20"/>
          <w:szCs w:val="20"/>
          <w:lang w:eastAsia="es-AR"/>
        </w:rPr>
        <w:t>Ciudad de Buenos Aires, 08/10/2019</w:t>
      </w:r>
    </w:p>
    <w:p w:rsidR="001A5A38" w:rsidRPr="001A5A38" w:rsidRDefault="001A5A38" w:rsidP="001A5A38">
      <w:pPr>
        <w:shd w:val="clear" w:color="auto" w:fill="F9F9F9"/>
        <w:spacing w:after="360" w:line="240" w:lineRule="auto"/>
        <w:jc w:val="both"/>
        <w:rPr>
          <w:rFonts w:ascii="Arial" w:eastAsia="Times New Roman" w:hAnsi="Arial" w:cs="Arial"/>
          <w:color w:val="111111"/>
          <w:sz w:val="20"/>
          <w:szCs w:val="20"/>
          <w:lang w:eastAsia="es-AR"/>
        </w:rPr>
      </w:pPr>
      <w:r w:rsidRPr="001A5A38">
        <w:rPr>
          <w:rFonts w:ascii="Arial" w:eastAsia="Times New Roman" w:hAnsi="Arial" w:cs="Arial"/>
          <w:color w:val="111111"/>
          <w:sz w:val="20"/>
          <w:szCs w:val="20"/>
          <w:lang w:eastAsia="es-AR"/>
        </w:rPr>
        <w:t>VISTO el Expediente EX-2018-52802368-APN-SMYC#SRT, las Leyes Nº 19.587, N° 19.549, Nº 24.557, N° 25.212, N° 25.506, los Decretos N° 351 de fecha 05 de febrero de 1979, N° 170 de fecha 21 de febrero de 1996, N° 911 de fecha 05 de agosto de 1996, N° 617 de fecha 07 de julio de 1997, N° 249 de fecha 20 de marzo de 2007, las Resoluciones de la SUPERINTENDENCIA DE RIESGOS DEL TRABAJO (S.R.T.) N° 415 de fecha 21 de octubre de 2002, N° 497 de fecha 01 de septiembre de 2003, N° 583 de fecha 17 de mayo de 2007, N° 635 de fecha 23 de junio de 2008, N° 365 de fecha 16 de abril de 2009, N° 463 de fecha 11 de mayo de 2009, N° 3.327 de fecha 9 de diciembre de 2014, N° 844 de fecha 7 de agosto de 2017, Nº 4 de fecha 11 de enero de 2019, N° 48 de fecha 25 de junio de 2019, la Disposición de la Gerencia de Prevención (G.P.) N° 2 de fecha 28 de mayo de 2014, y</w:t>
      </w:r>
    </w:p>
    <w:p w:rsidR="001A5A38" w:rsidRPr="001A5A38" w:rsidRDefault="001A5A38" w:rsidP="001A5A38">
      <w:pPr>
        <w:shd w:val="clear" w:color="auto" w:fill="F9F9F9"/>
        <w:spacing w:after="360" w:line="240" w:lineRule="auto"/>
        <w:jc w:val="both"/>
        <w:rPr>
          <w:rFonts w:ascii="Arial" w:eastAsia="Times New Roman" w:hAnsi="Arial" w:cs="Arial"/>
          <w:color w:val="111111"/>
          <w:sz w:val="20"/>
          <w:szCs w:val="20"/>
          <w:lang w:eastAsia="es-AR"/>
        </w:rPr>
      </w:pPr>
      <w:r w:rsidRPr="001A5A38">
        <w:rPr>
          <w:rFonts w:ascii="Arial" w:eastAsia="Times New Roman" w:hAnsi="Arial" w:cs="Arial"/>
          <w:color w:val="111111"/>
          <w:sz w:val="20"/>
          <w:szCs w:val="20"/>
          <w:lang w:eastAsia="es-AR"/>
        </w:rPr>
        <w:t>CONSIDERANDO:</w:t>
      </w:r>
    </w:p>
    <w:p w:rsidR="001A5A38" w:rsidRPr="001A5A38" w:rsidRDefault="001A5A38" w:rsidP="001A5A38">
      <w:pPr>
        <w:shd w:val="clear" w:color="auto" w:fill="F9F9F9"/>
        <w:spacing w:after="360" w:line="240" w:lineRule="auto"/>
        <w:jc w:val="both"/>
        <w:rPr>
          <w:rFonts w:ascii="Arial" w:eastAsia="Times New Roman" w:hAnsi="Arial" w:cs="Arial"/>
          <w:color w:val="111111"/>
          <w:sz w:val="20"/>
          <w:szCs w:val="20"/>
          <w:lang w:eastAsia="es-AR"/>
        </w:rPr>
      </w:pPr>
      <w:r w:rsidRPr="001A5A38">
        <w:rPr>
          <w:rFonts w:ascii="Arial" w:eastAsia="Times New Roman" w:hAnsi="Arial" w:cs="Arial"/>
          <w:color w:val="111111"/>
          <w:sz w:val="20"/>
          <w:szCs w:val="20"/>
          <w:lang w:eastAsia="es-AR"/>
        </w:rPr>
        <w:t>Que el artículo 1°, apartado 2, inciso a) de la Ley N° 24.557 sobre Riesgos del Trabajo, establece como uno de sus objetivos fundamentales reducir la siniestralidad laboral a través de la prevención de los riesgos derivados del trabajo.</w:t>
      </w:r>
    </w:p>
    <w:p w:rsidR="001A5A38" w:rsidRPr="001A5A38" w:rsidRDefault="001A5A38" w:rsidP="001A5A38">
      <w:pPr>
        <w:shd w:val="clear" w:color="auto" w:fill="F9F9F9"/>
        <w:spacing w:after="360" w:line="240" w:lineRule="auto"/>
        <w:jc w:val="both"/>
        <w:rPr>
          <w:rFonts w:ascii="Arial" w:eastAsia="Times New Roman" w:hAnsi="Arial" w:cs="Arial"/>
          <w:color w:val="111111"/>
          <w:sz w:val="20"/>
          <w:szCs w:val="20"/>
          <w:lang w:eastAsia="es-AR"/>
        </w:rPr>
      </w:pPr>
      <w:r w:rsidRPr="001A5A38">
        <w:rPr>
          <w:rFonts w:ascii="Arial" w:eastAsia="Times New Roman" w:hAnsi="Arial" w:cs="Arial"/>
          <w:color w:val="111111"/>
          <w:sz w:val="20"/>
          <w:szCs w:val="20"/>
          <w:lang w:eastAsia="es-AR"/>
        </w:rPr>
        <w:t xml:space="preserve">Que el artículo 5° de la Ley N° 19.587 de Higiene y Seguridad en el Trabajo dispone: “(…) A los fines de la aplicación de esta ley </w:t>
      </w:r>
      <w:proofErr w:type="spellStart"/>
      <w:r w:rsidRPr="001A5A38">
        <w:rPr>
          <w:rFonts w:ascii="Arial" w:eastAsia="Times New Roman" w:hAnsi="Arial" w:cs="Arial"/>
          <w:color w:val="111111"/>
          <w:sz w:val="20"/>
          <w:szCs w:val="20"/>
          <w:lang w:eastAsia="es-AR"/>
        </w:rPr>
        <w:t>considéranse</w:t>
      </w:r>
      <w:proofErr w:type="spellEnd"/>
      <w:r w:rsidRPr="001A5A38">
        <w:rPr>
          <w:rFonts w:ascii="Arial" w:eastAsia="Times New Roman" w:hAnsi="Arial" w:cs="Arial"/>
          <w:color w:val="111111"/>
          <w:sz w:val="20"/>
          <w:szCs w:val="20"/>
          <w:lang w:eastAsia="es-AR"/>
        </w:rPr>
        <w:t xml:space="preserve"> como básicos los siguientes principios y métodos de ejecución: (...) l) adopción y aplicación, por intermedio de la autoridad competente, de los medios científicos y técnicos adecuados y actualizados que hagan a los objetivos de esta ley; (…)”.</w:t>
      </w:r>
    </w:p>
    <w:p w:rsidR="001A5A38" w:rsidRPr="001A5A38" w:rsidRDefault="001A5A38" w:rsidP="001A5A38">
      <w:pPr>
        <w:shd w:val="clear" w:color="auto" w:fill="F9F9F9"/>
        <w:spacing w:after="360" w:line="240" w:lineRule="auto"/>
        <w:jc w:val="both"/>
        <w:rPr>
          <w:rFonts w:ascii="Arial" w:eastAsia="Times New Roman" w:hAnsi="Arial" w:cs="Arial"/>
          <w:color w:val="111111"/>
          <w:sz w:val="20"/>
          <w:szCs w:val="20"/>
          <w:lang w:eastAsia="es-AR"/>
        </w:rPr>
      </w:pPr>
      <w:r w:rsidRPr="001A5A38">
        <w:rPr>
          <w:rFonts w:ascii="Arial" w:eastAsia="Times New Roman" w:hAnsi="Arial" w:cs="Arial"/>
          <w:color w:val="111111"/>
          <w:sz w:val="20"/>
          <w:szCs w:val="20"/>
          <w:lang w:eastAsia="es-AR"/>
        </w:rPr>
        <w:t>Que por su parte, el artículo 4º, apartado 1 de la Ley sobre Riesgos del Trabajo dispone que tanto las ASEGURADORAS DE RIESGOS DEL TRABAJO (A.R.T.), como los empleadores y sus trabajadores, se encuentran obligados a adoptar las medidas legalmente previstas, tendientes a prevenir eficazmente los riesgos del trabajo, para lo cual deben asumir compromisos concretos de cumplir con las normas de higiene y seguridad en el trabajo.</w:t>
      </w:r>
    </w:p>
    <w:p w:rsidR="001A5A38" w:rsidRPr="001A5A38" w:rsidRDefault="001A5A38" w:rsidP="001A5A38">
      <w:pPr>
        <w:shd w:val="clear" w:color="auto" w:fill="F9F9F9"/>
        <w:spacing w:after="360" w:line="240" w:lineRule="auto"/>
        <w:jc w:val="both"/>
        <w:rPr>
          <w:rFonts w:ascii="Arial" w:eastAsia="Times New Roman" w:hAnsi="Arial" w:cs="Arial"/>
          <w:color w:val="111111"/>
          <w:sz w:val="20"/>
          <w:szCs w:val="20"/>
          <w:lang w:eastAsia="es-AR"/>
        </w:rPr>
      </w:pPr>
      <w:r w:rsidRPr="001A5A38">
        <w:rPr>
          <w:rFonts w:ascii="Arial" w:eastAsia="Times New Roman" w:hAnsi="Arial" w:cs="Arial"/>
          <w:color w:val="111111"/>
          <w:sz w:val="20"/>
          <w:szCs w:val="20"/>
          <w:lang w:eastAsia="es-AR"/>
        </w:rPr>
        <w:t>Que el artículo 35 de la Ley N° 24.557 sobre Riesgos del Trabajo creó la SUPERINTENDENTENCIA DE RIESGOS DEL TRABAJO (S.R.T.) como entidad autárquica en el ámbito del MINISTERIO DE TRABAJO Y SEGURIDAD SOCIAL DE LA NACIÓN.</w:t>
      </w:r>
    </w:p>
    <w:p w:rsidR="001A5A38" w:rsidRPr="001A5A38" w:rsidRDefault="001A5A38" w:rsidP="001A5A38">
      <w:pPr>
        <w:shd w:val="clear" w:color="auto" w:fill="F9F9F9"/>
        <w:spacing w:after="360" w:line="240" w:lineRule="auto"/>
        <w:jc w:val="both"/>
        <w:rPr>
          <w:rFonts w:ascii="Arial" w:eastAsia="Times New Roman" w:hAnsi="Arial" w:cs="Arial"/>
          <w:color w:val="111111"/>
          <w:sz w:val="20"/>
          <w:szCs w:val="20"/>
          <w:lang w:eastAsia="es-AR"/>
        </w:rPr>
      </w:pPr>
      <w:r w:rsidRPr="001A5A38">
        <w:rPr>
          <w:rFonts w:ascii="Arial" w:eastAsia="Times New Roman" w:hAnsi="Arial" w:cs="Arial"/>
          <w:color w:val="111111"/>
          <w:sz w:val="20"/>
          <w:szCs w:val="20"/>
          <w:lang w:eastAsia="es-AR"/>
        </w:rPr>
        <w:t xml:space="preserve">Que el artículo 36, apartado 1, incisos a), b), c) y g) de la Ley N° 24.557 establecen, dentro de las funciones inherentes de la S.R.T., las de controlar el cumplimiento de las normas de higiene y seguridad en el trabajo; supervisar y fiscalizar el funcionamiento de las A.R.T. y Empleadores </w:t>
      </w:r>
      <w:proofErr w:type="spellStart"/>
      <w:r w:rsidRPr="001A5A38">
        <w:rPr>
          <w:rFonts w:ascii="Arial" w:eastAsia="Times New Roman" w:hAnsi="Arial" w:cs="Arial"/>
          <w:color w:val="111111"/>
          <w:sz w:val="20"/>
          <w:szCs w:val="20"/>
          <w:lang w:eastAsia="es-AR"/>
        </w:rPr>
        <w:t>Autoasegurados</w:t>
      </w:r>
      <w:proofErr w:type="spellEnd"/>
      <w:r w:rsidRPr="001A5A38">
        <w:rPr>
          <w:rFonts w:ascii="Arial" w:eastAsia="Times New Roman" w:hAnsi="Arial" w:cs="Arial"/>
          <w:color w:val="111111"/>
          <w:sz w:val="20"/>
          <w:szCs w:val="20"/>
          <w:lang w:eastAsia="es-AR"/>
        </w:rPr>
        <w:t xml:space="preserve"> (E.A.) y la de imponer las sanciones previstas en dicha ley, respectivamente.</w:t>
      </w:r>
    </w:p>
    <w:p w:rsidR="001A5A38" w:rsidRPr="001A5A38" w:rsidRDefault="001A5A38" w:rsidP="001A5A38">
      <w:pPr>
        <w:shd w:val="clear" w:color="auto" w:fill="F9F9F9"/>
        <w:spacing w:after="360" w:line="240" w:lineRule="auto"/>
        <w:jc w:val="both"/>
        <w:rPr>
          <w:rFonts w:ascii="Arial" w:eastAsia="Times New Roman" w:hAnsi="Arial" w:cs="Arial"/>
          <w:color w:val="111111"/>
          <w:sz w:val="20"/>
          <w:szCs w:val="20"/>
          <w:lang w:eastAsia="es-AR"/>
        </w:rPr>
      </w:pPr>
      <w:r w:rsidRPr="001A5A38">
        <w:rPr>
          <w:rFonts w:ascii="Arial" w:eastAsia="Times New Roman" w:hAnsi="Arial" w:cs="Arial"/>
          <w:color w:val="111111"/>
          <w:sz w:val="20"/>
          <w:szCs w:val="20"/>
          <w:lang w:eastAsia="es-AR"/>
        </w:rPr>
        <w:t>Que el artículo 31 de la Ley N° 24.557 en su apartado 1, incisos a) y c) establecen que las Aseguradoras de Riesgos del Trabajo: “(…) a) Denunciarán ante la SRT los incumplimientos de sus afiliados de las normas de higiene y seguridad en el trabajo, incluido el Plan de Mejoramiento;”, “c) Promoverán la prevención, informando a la Superintendencia de Riesgos del Trabajo acerca de los planes y programas exigidos a los empleadores”.</w:t>
      </w:r>
    </w:p>
    <w:p w:rsidR="001A5A38" w:rsidRPr="001A5A38" w:rsidRDefault="001A5A38" w:rsidP="001A5A38">
      <w:pPr>
        <w:shd w:val="clear" w:color="auto" w:fill="F9F9F9"/>
        <w:spacing w:after="360" w:line="240" w:lineRule="auto"/>
        <w:jc w:val="both"/>
        <w:rPr>
          <w:rFonts w:ascii="Arial" w:eastAsia="Times New Roman" w:hAnsi="Arial" w:cs="Arial"/>
          <w:color w:val="111111"/>
          <w:sz w:val="20"/>
          <w:szCs w:val="20"/>
          <w:lang w:eastAsia="es-AR"/>
        </w:rPr>
      </w:pPr>
      <w:r w:rsidRPr="001A5A38">
        <w:rPr>
          <w:rFonts w:ascii="Arial" w:eastAsia="Times New Roman" w:hAnsi="Arial" w:cs="Arial"/>
          <w:color w:val="111111"/>
          <w:sz w:val="20"/>
          <w:szCs w:val="20"/>
          <w:lang w:eastAsia="es-AR"/>
        </w:rPr>
        <w:t xml:space="preserve">Que en la reglamentación del artículo 31 de la Ley N° 24.557, el Decreto Nº 170 de fecha 21 de febrero de 1996, dispuso que la S.R.T. está facultada para establecer los procedimientos de denuncia e información que esa norma impone a las A.R.T. y estableció como un modo de promoción de la </w:t>
      </w:r>
      <w:r w:rsidRPr="001A5A38">
        <w:rPr>
          <w:rFonts w:ascii="Arial" w:eastAsia="Times New Roman" w:hAnsi="Arial" w:cs="Arial"/>
          <w:color w:val="111111"/>
          <w:sz w:val="20"/>
          <w:szCs w:val="20"/>
          <w:lang w:eastAsia="es-AR"/>
        </w:rPr>
        <w:lastRenderedPageBreak/>
        <w:t>prevención, que las aseguradoras están obligadas a brindar asesoramiento y ofrecer asistencia técnica a sus empleadores afiliados.</w:t>
      </w:r>
    </w:p>
    <w:p w:rsidR="001A5A38" w:rsidRPr="001A5A38" w:rsidRDefault="001A5A38" w:rsidP="001A5A38">
      <w:pPr>
        <w:shd w:val="clear" w:color="auto" w:fill="F9F9F9"/>
        <w:spacing w:after="360" w:line="240" w:lineRule="auto"/>
        <w:jc w:val="both"/>
        <w:rPr>
          <w:rFonts w:ascii="Arial" w:eastAsia="Times New Roman" w:hAnsi="Arial" w:cs="Arial"/>
          <w:color w:val="111111"/>
          <w:sz w:val="20"/>
          <w:szCs w:val="20"/>
          <w:lang w:eastAsia="es-AR"/>
        </w:rPr>
      </w:pPr>
      <w:r w:rsidRPr="001A5A38">
        <w:rPr>
          <w:rFonts w:ascii="Arial" w:eastAsia="Times New Roman" w:hAnsi="Arial" w:cs="Arial"/>
          <w:color w:val="111111"/>
          <w:sz w:val="20"/>
          <w:szCs w:val="20"/>
          <w:lang w:eastAsia="es-AR"/>
        </w:rPr>
        <w:t>Que en el último párrafo del artículo 19 del Decreto Nº 170/96, se facultó expresamente a esta S.R.T., para determinar la frecuencia y condiciones para la realización de las actividades de prevención y control, teniendo en cuenta las necesidades de cada una de las ramas de cada actividad.</w:t>
      </w:r>
    </w:p>
    <w:p w:rsidR="001A5A38" w:rsidRPr="001A5A38" w:rsidRDefault="001A5A38" w:rsidP="001A5A38">
      <w:pPr>
        <w:shd w:val="clear" w:color="auto" w:fill="F9F9F9"/>
        <w:spacing w:after="360" w:line="240" w:lineRule="auto"/>
        <w:jc w:val="both"/>
        <w:rPr>
          <w:rFonts w:ascii="Arial" w:eastAsia="Times New Roman" w:hAnsi="Arial" w:cs="Arial"/>
          <w:color w:val="111111"/>
          <w:sz w:val="20"/>
          <w:szCs w:val="20"/>
          <w:lang w:eastAsia="es-AR"/>
        </w:rPr>
      </w:pPr>
      <w:r w:rsidRPr="001A5A38">
        <w:rPr>
          <w:rFonts w:ascii="Arial" w:eastAsia="Times New Roman" w:hAnsi="Arial" w:cs="Arial"/>
          <w:color w:val="111111"/>
          <w:sz w:val="20"/>
          <w:szCs w:val="20"/>
          <w:lang w:eastAsia="es-AR"/>
        </w:rPr>
        <w:t>Que en ese marco, el artículo 1° de la Resolución S.R.T. Nº 415 de fecha 21 de octubre de 2002, dispuso el funcionamiento del “Registro de Sustancias y Agentes Cancerígenos” en el ámbito de esta S.R.T.; actualizó el listado de sustancias y agentes cancerígenos; y aprobó el Formulario de Inscripción en el “Registro de Sustancias y Agentes Cancerígenos”, con el objetivo de determinar y actualizar periódicamente las sustancias o agentes cancerígenos a los que la exposición en el trabajo estará prohibida o sujeta a fiscalización y autorización por parte de la autoridad competente.</w:t>
      </w:r>
    </w:p>
    <w:p w:rsidR="001A5A38" w:rsidRPr="001A5A38" w:rsidRDefault="001A5A38" w:rsidP="001A5A38">
      <w:pPr>
        <w:shd w:val="clear" w:color="auto" w:fill="F9F9F9"/>
        <w:spacing w:after="360" w:line="240" w:lineRule="auto"/>
        <w:jc w:val="both"/>
        <w:rPr>
          <w:rFonts w:ascii="Arial" w:eastAsia="Times New Roman" w:hAnsi="Arial" w:cs="Arial"/>
          <w:color w:val="111111"/>
          <w:sz w:val="20"/>
          <w:szCs w:val="20"/>
          <w:lang w:eastAsia="es-AR"/>
        </w:rPr>
      </w:pPr>
      <w:r w:rsidRPr="001A5A38">
        <w:rPr>
          <w:rFonts w:ascii="Arial" w:eastAsia="Times New Roman" w:hAnsi="Arial" w:cs="Arial"/>
          <w:color w:val="111111"/>
          <w:sz w:val="20"/>
          <w:szCs w:val="20"/>
          <w:lang w:eastAsia="es-AR"/>
        </w:rPr>
        <w:t>Que en el artículo 4° de la citada resolución, se estableció que todos los empleadores que produzcan, importen, utilicen, obtengan en procesos intermedios, vendan y/o cedan a título gratuito las sustancias o agentes que la misma resolución enumera, deben estar inscriptos en dicho registro.</w:t>
      </w:r>
    </w:p>
    <w:p w:rsidR="001A5A38" w:rsidRPr="001A5A38" w:rsidRDefault="001A5A38" w:rsidP="001A5A38">
      <w:pPr>
        <w:shd w:val="clear" w:color="auto" w:fill="F9F9F9"/>
        <w:spacing w:after="360" w:line="240" w:lineRule="auto"/>
        <w:jc w:val="both"/>
        <w:rPr>
          <w:rFonts w:ascii="Arial" w:eastAsia="Times New Roman" w:hAnsi="Arial" w:cs="Arial"/>
          <w:color w:val="111111"/>
          <w:sz w:val="20"/>
          <w:szCs w:val="20"/>
          <w:lang w:eastAsia="es-AR"/>
        </w:rPr>
      </w:pPr>
      <w:r w:rsidRPr="001A5A38">
        <w:rPr>
          <w:rFonts w:ascii="Arial" w:eastAsia="Times New Roman" w:hAnsi="Arial" w:cs="Arial"/>
          <w:color w:val="111111"/>
          <w:sz w:val="20"/>
          <w:szCs w:val="20"/>
          <w:lang w:eastAsia="es-AR"/>
        </w:rPr>
        <w:t>Que, asimismo, la citada norma prevé que la inscripción de los empleadores asegurados al “Registro de Sustancias y Agentes Cancerígenos” se deberá realizar ante la A.R.T. a la que se encuentren afiliados, mediante la presentación de una declaración jurada, en formato documental.</w:t>
      </w:r>
    </w:p>
    <w:p w:rsidR="001A5A38" w:rsidRPr="001A5A38" w:rsidRDefault="001A5A38" w:rsidP="001A5A38">
      <w:pPr>
        <w:shd w:val="clear" w:color="auto" w:fill="F9F9F9"/>
        <w:spacing w:after="360" w:line="240" w:lineRule="auto"/>
        <w:jc w:val="both"/>
        <w:rPr>
          <w:rFonts w:ascii="Arial" w:eastAsia="Times New Roman" w:hAnsi="Arial" w:cs="Arial"/>
          <w:color w:val="111111"/>
          <w:sz w:val="20"/>
          <w:szCs w:val="20"/>
          <w:lang w:eastAsia="es-AR"/>
        </w:rPr>
      </w:pPr>
      <w:r w:rsidRPr="001A5A38">
        <w:rPr>
          <w:rFonts w:ascii="Arial" w:eastAsia="Times New Roman" w:hAnsi="Arial" w:cs="Arial"/>
          <w:color w:val="111111"/>
          <w:sz w:val="20"/>
          <w:szCs w:val="20"/>
          <w:lang w:eastAsia="es-AR"/>
        </w:rPr>
        <w:t>Que, además, estableció que los Empleadores deben conservar las Historias Clínicas de los trabajadores potencialmente expuestos, por un período de CUARENTA (40) años luego del cese de la actividad laboral de aquellos.</w:t>
      </w:r>
    </w:p>
    <w:p w:rsidR="001A5A38" w:rsidRPr="001A5A38" w:rsidRDefault="001A5A38" w:rsidP="001A5A38">
      <w:pPr>
        <w:shd w:val="clear" w:color="auto" w:fill="F9F9F9"/>
        <w:spacing w:after="360" w:line="240" w:lineRule="auto"/>
        <w:jc w:val="both"/>
        <w:rPr>
          <w:rFonts w:ascii="Arial" w:eastAsia="Times New Roman" w:hAnsi="Arial" w:cs="Arial"/>
          <w:color w:val="111111"/>
          <w:sz w:val="20"/>
          <w:szCs w:val="20"/>
          <w:lang w:eastAsia="es-AR"/>
        </w:rPr>
      </w:pPr>
      <w:r w:rsidRPr="001A5A38">
        <w:rPr>
          <w:rFonts w:ascii="Arial" w:eastAsia="Times New Roman" w:hAnsi="Arial" w:cs="Arial"/>
          <w:color w:val="111111"/>
          <w:sz w:val="20"/>
          <w:szCs w:val="20"/>
          <w:lang w:eastAsia="es-AR"/>
        </w:rPr>
        <w:t>Que la Resolución S.R.T. Nº 583 de fecha 17 de mayo de 2007, estableció la estructura de datos que deben emplear las A.R.T. a fin de remitir información al “Registro de Sustancias y Agentes Cancerígenos”.</w:t>
      </w:r>
    </w:p>
    <w:p w:rsidR="001A5A38" w:rsidRPr="001A5A38" w:rsidRDefault="001A5A38" w:rsidP="001A5A38">
      <w:pPr>
        <w:shd w:val="clear" w:color="auto" w:fill="F9F9F9"/>
        <w:spacing w:after="360" w:line="240" w:lineRule="auto"/>
        <w:jc w:val="both"/>
        <w:rPr>
          <w:rFonts w:ascii="Arial" w:eastAsia="Times New Roman" w:hAnsi="Arial" w:cs="Arial"/>
          <w:color w:val="111111"/>
          <w:sz w:val="20"/>
          <w:szCs w:val="20"/>
          <w:lang w:eastAsia="es-AR"/>
        </w:rPr>
      </w:pPr>
      <w:r w:rsidRPr="001A5A38">
        <w:rPr>
          <w:rFonts w:ascii="Arial" w:eastAsia="Times New Roman" w:hAnsi="Arial" w:cs="Arial"/>
          <w:color w:val="111111"/>
          <w:sz w:val="20"/>
          <w:szCs w:val="20"/>
          <w:lang w:eastAsia="es-AR"/>
        </w:rPr>
        <w:t>Que, además, la Resolución S.R.T. N° 844 de fecha 7 de agosto de 2017 sustituyó el Anexo I de la Resolución S.R.T. N° 415/02, actualizando el listado de Sustancias y Agentes Cancerígenos e incluyendo agentes, que, por su tipo, origen o especificidad, requieren nuevos métodos de control y registro, no contemplados en la Resolución S.R.T. Nº 583/07.</w:t>
      </w:r>
    </w:p>
    <w:p w:rsidR="001A5A38" w:rsidRPr="001A5A38" w:rsidRDefault="001A5A38" w:rsidP="001A5A38">
      <w:pPr>
        <w:shd w:val="clear" w:color="auto" w:fill="F9F9F9"/>
        <w:spacing w:after="360" w:line="240" w:lineRule="auto"/>
        <w:jc w:val="both"/>
        <w:rPr>
          <w:rFonts w:ascii="Arial" w:eastAsia="Times New Roman" w:hAnsi="Arial" w:cs="Arial"/>
          <w:color w:val="111111"/>
          <w:sz w:val="20"/>
          <w:szCs w:val="20"/>
          <w:lang w:eastAsia="es-AR"/>
        </w:rPr>
      </w:pPr>
      <w:r w:rsidRPr="001A5A38">
        <w:rPr>
          <w:rFonts w:ascii="Arial" w:eastAsia="Times New Roman" w:hAnsi="Arial" w:cs="Arial"/>
          <w:color w:val="111111"/>
          <w:sz w:val="20"/>
          <w:szCs w:val="20"/>
          <w:lang w:eastAsia="es-AR"/>
        </w:rPr>
        <w:t>Que desde la sanción de la Resolución S.R.T. Nº 583/07, el ESTADO NACIONAL ha propiciado distintos programas tendientes a la modernización de la Administración Pública, mediante iniciativas de transformación, innovación, mejora continua e integración de los procesos.</w:t>
      </w:r>
    </w:p>
    <w:p w:rsidR="001A5A38" w:rsidRPr="001A5A38" w:rsidRDefault="001A5A38" w:rsidP="001A5A38">
      <w:pPr>
        <w:shd w:val="clear" w:color="auto" w:fill="F9F9F9"/>
        <w:spacing w:after="360" w:line="240" w:lineRule="auto"/>
        <w:jc w:val="both"/>
        <w:rPr>
          <w:rFonts w:ascii="Arial" w:eastAsia="Times New Roman" w:hAnsi="Arial" w:cs="Arial"/>
          <w:color w:val="111111"/>
          <w:sz w:val="20"/>
          <w:szCs w:val="20"/>
          <w:lang w:eastAsia="es-AR"/>
        </w:rPr>
      </w:pPr>
      <w:r w:rsidRPr="001A5A38">
        <w:rPr>
          <w:rFonts w:ascii="Arial" w:eastAsia="Times New Roman" w:hAnsi="Arial" w:cs="Arial"/>
          <w:color w:val="111111"/>
          <w:sz w:val="20"/>
          <w:szCs w:val="20"/>
          <w:lang w:eastAsia="es-AR"/>
        </w:rPr>
        <w:t xml:space="preserve">Que, en ese marco, resulta necesario implementar proyectos encaminados a la digitalización de procesos que permitan la creación, registro y archivo de documentos electrónicos en medios electrónicos para lograr la </w:t>
      </w:r>
      <w:proofErr w:type="spellStart"/>
      <w:r w:rsidRPr="001A5A38">
        <w:rPr>
          <w:rFonts w:ascii="Arial" w:eastAsia="Times New Roman" w:hAnsi="Arial" w:cs="Arial"/>
          <w:color w:val="111111"/>
          <w:sz w:val="20"/>
          <w:szCs w:val="20"/>
          <w:lang w:eastAsia="es-AR"/>
        </w:rPr>
        <w:t>despapelización</w:t>
      </w:r>
      <w:proofErr w:type="spellEnd"/>
      <w:r w:rsidRPr="001A5A38">
        <w:rPr>
          <w:rFonts w:ascii="Arial" w:eastAsia="Times New Roman" w:hAnsi="Arial" w:cs="Arial"/>
          <w:color w:val="111111"/>
          <w:sz w:val="20"/>
          <w:szCs w:val="20"/>
          <w:lang w:eastAsia="es-AR"/>
        </w:rPr>
        <w:t xml:space="preserve"> de la administración pública, tal como lo prevé la Ley N° 25.506.</w:t>
      </w:r>
    </w:p>
    <w:p w:rsidR="001A5A38" w:rsidRPr="001A5A38" w:rsidRDefault="001A5A38" w:rsidP="001A5A38">
      <w:pPr>
        <w:shd w:val="clear" w:color="auto" w:fill="F9F9F9"/>
        <w:spacing w:after="360" w:line="240" w:lineRule="auto"/>
        <w:jc w:val="both"/>
        <w:rPr>
          <w:rFonts w:ascii="Arial" w:eastAsia="Times New Roman" w:hAnsi="Arial" w:cs="Arial"/>
          <w:color w:val="111111"/>
          <w:sz w:val="20"/>
          <w:szCs w:val="20"/>
          <w:lang w:eastAsia="es-AR"/>
        </w:rPr>
      </w:pPr>
      <w:r w:rsidRPr="001A5A38">
        <w:rPr>
          <w:rFonts w:ascii="Arial" w:eastAsia="Times New Roman" w:hAnsi="Arial" w:cs="Arial"/>
          <w:color w:val="111111"/>
          <w:sz w:val="20"/>
          <w:szCs w:val="20"/>
          <w:lang w:eastAsia="es-AR"/>
        </w:rPr>
        <w:t>Que el empleo de dichos medios informáticos y telemáticos permitirá mayor control y seguridad en su tramitación y minimizará la utilización de documentos basados en papel, sin menoscabo alguno a la seguridad jurídica.</w:t>
      </w:r>
    </w:p>
    <w:p w:rsidR="001A5A38" w:rsidRPr="001A5A38" w:rsidRDefault="001A5A38" w:rsidP="001A5A38">
      <w:pPr>
        <w:shd w:val="clear" w:color="auto" w:fill="F9F9F9"/>
        <w:spacing w:after="360" w:line="240" w:lineRule="auto"/>
        <w:jc w:val="both"/>
        <w:rPr>
          <w:rFonts w:ascii="Arial" w:eastAsia="Times New Roman" w:hAnsi="Arial" w:cs="Arial"/>
          <w:color w:val="111111"/>
          <w:sz w:val="20"/>
          <w:szCs w:val="20"/>
          <w:lang w:eastAsia="es-AR"/>
        </w:rPr>
      </w:pPr>
      <w:r w:rsidRPr="001A5A38">
        <w:rPr>
          <w:rFonts w:ascii="Arial" w:eastAsia="Times New Roman" w:hAnsi="Arial" w:cs="Arial"/>
          <w:color w:val="111111"/>
          <w:sz w:val="20"/>
          <w:szCs w:val="20"/>
          <w:lang w:eastAsia="es-AR"/>
        </w:rPr>
        <w:t>Que ello está en consonancia con lo previsto en el artículo 1°, inciso b) de la Ley N° 19.549 de Procedimientos Administrativos, que establece para los trámites que se desarrollan en su ámbito, los principios de celeridad, economía, sencillez y eficacia.</w:t>
      </w:r>
    </w:p>
    <w:p w:rsidR="001A5A38" w:rsidRPr="001A5A38" w:rsidRDefault="001A5A38" w:rsidP="001A5A38">
      <w:pPr>
        <w:shd w:val="clear" w:color="auto" w:fill="F9F9F9"/>
        <w:spacing w:after="360" w:line="240" w:lineRule="auto"/>
        <w:jc w:val="both"/>
        <w:rPr>
          <w:rFonts w:ascii="Arial" w:eastAsia="Times New Roman" w:hAnsi="Arial" w:cs="Arial"/>
          <w:color w:val="111111"/>
          <w:sz w:val="20"/>
          <w:szCs w:val="20"/>
          <w:lang w:eastAsia="es-AR"/>
        </w:rPr>
      </w:pPr>
      <w:r w:rsidRPr="001A5A38">
        <w:rPr>
          <w:rFonts w:ascii="Arial" w:eastAsia="Times New Roman" w:hAnsi="Arial" w:cs="Arial"/>
          <w:color w:val="111111"/>
          <w:sz w:val="20"/>
          <w:szCs w:val="20"/>
          <w:lang w:eastAsia="es-AR"/>
        </w:rPr>
        <w:lastRenderedPageBreak/>
        <w:t>Que la norma proyectada implica una superación de la dispersión normativa vigente en materia de sustancias cancerígenas y la actualización de la norma de acuerdo a la evidencia empírica y la experiencia recogida por la S.R.T. hasta el momento.</w:t>
      </w:r>
    </w:p>
    <w:p w:rsidR="001A5A38" w:rsidRPr="001A5A38" w:rsidRDefault="001A5A38" w:rsidP="001A5A38">
      <w:pPr>
        <w:shd w:val="clear" w:color="auto" w:fill="F9F9F9"/>
        <w:spacing w:after="360" w:line="240" w:lineRule="auto"/>
        <w:jc w:val="both"/>
        <w:rPr>
          <w:rFonts w:ascii="Arial" w:eastAsia="Times New Roman" w:hAnsi="Arial" w:cs="Arial"/>
          <w:color w:val="111111"/>
          <w:sz w:val="20"/>
          <w:szCs w:val="20"/>
          <w:lang w:eastAsia="es-AR"/>
        </w:rPr>
      </w:pPr>
      <w:r w:rsidRPr="001A5A38">
        <w:rPr>
          <w:rFonts w:ascii="Arial" w:eastAsia="Times New Roman" w:hAnsi="Arial" w:cs="Arial"/>
          <w:color w:val="111111"/>
          <w:sz w:val="20"/>
          <w:szCs w:val="20"/>
          <w:lang w:eastAsia="es-AR"/>
        </w:rPr>
        <w:t>Que la Resolución S.R.T. Nº 463 de fecha 11 de mayo de 2009 aprobó el Relevamiento General de Riesgos Laborales (R.G.R.L.) como parte integrante de la Solicitud de Afiliación y estableció la obligación de declarar la presencia de Sustancias y Agentes Cancerígenos mediante el uso de la Planilla A, del Anexo I de dicha norma.</w:t>
      </w:r>
    </w:p>
    <w:p w:rsidR="001A5A38" w:rsidRPr="001A5A38" w:rsidRDefault="001A5A38" w:rsidP="001A5A38">
      <w:pPr>
        <w:shd w:val="clear" w:color="auto" w:fill="F9F9F9"/>
        <w:spacing w:after="360" w:line="240" w:lineRule="auto"/>
        <w:jc w:val="both"/>
        <w:rPr>
          <w:rFonts w:ascii="Arial" w:eastAsia="Times New Roman" w:hAnsi="Arial" w:cs="Arial"/>
          <w:color w:val="111111"/>
          <w:sz w:val="20"/>
          <w:szCs w:val="20"/>
          <w:lang w:eastAsia="es-AR"/>
        </w:rPr>
      </w:pPr>
      <w:r w:rsidRPr="001A5A38">
        <w:rPr>
          <w:rFonts w:ascii="Arial" w:eastAsia="Times New Roman" w:hAnsi="Arial" w:cs="Arial"/>
          <w:color w:val="111111"/>
          <w:sz w:val="20"/>
          <w:szCs w:val="20"/>
          <w:lang w:eastAsia="es-AR"/>
        </w:rPr>
        <w:t>Que en atención a la ampliación establecida por la Resolución S.R.T. N° 844/17, luce pertinente actualizar el Listado de Sustancias y Agentes Cancerígenos detallados en la Planilla A, del Anexo I de la Resolución S.R.T. Nº 463/09.</w:t>
      </w:r>
    </w:p>
    <w:p w:rsidR="001A5A38" w:rsidRPr="001A5A38" w:rsidRDefault="001A5A38" w:rsidP="001A5A38">
      <w:pPr>
        <w:shd w:val="clear" w:color="auto" w:fill="F9F9F9"/>
        <w:spacing w:after="360" w:line="240" w:lineRule="auto"/>
        <w:jc w:val="both"/>
        <w:rPr>
          <w:rFonts w:ascii="Arial" w:eastAsia="Times New Roman" w:hAnsi="Arial" w:cs="Arial"/>
          <w:color w:val="111111"/>
          <w:sz w:val="20"/>
          <w:szCs w:val="20"/>
          <w:lang w:eastAsia="es-AR"/>
        </w:rPr>
      </w:pPr>
      <w:r w:rsidRPr="001A5A38">
        <w:rPr>
          <w:rFonts w:ascii="Arial" w:eastAsia="Times New Roman" w:hAnsi="Arial" w:cs="Arial"/>
          <w:color w:val="111111"/>
          <w:sz w:val="20"/>
          <w:szCs w:val="20"/>
          <w:lang w:eastAsia="es-AR"/>
        </w:rPr>
        <w:t>Que, por otra parte, corresponde modificar la Tabla III del Anexo I de la Resolución S.R.T. N° 3.327 de fecha 09 de diciembre de 2014, en la medida que dicha tabla posee una lista de agentes causantes de enfermedades profesionales y a través de esta nueva norma se actualiza la codificación de la totalidad de los agentes (no sólo los cancerígenos).</w:t>
      </w:r>
    </w:p>
    <w:p w:rsidR="001A5A38" w:rsidRPr="001A5A38" w:rsidRDefault="001A5A38" w:rsidP="001A5A38">
      <w:pPr>
        <w:shd w:val="clear" w:color="auto" w:fill="F9F9F9"/>
        <w:spacing w:after="360" w:line="240" w:lineRule="auto"/>
        <w:jc w:val="both"/>
        <w:rPr>
          <w:rFonts w:ascii="Arial" w:eastAsia="Times New Roman" w:hAnsi="Arial" w:cs="Arial"/>
          <w:color w:val="111111"/>
          <w:sz w:val="20"/>
          <w:szCs w:val="20"/>
          <w:lang w:eastAsia="es-AR"/>
        </w:rPr>
      </w:pPr>
      <w:r w:rsidRPr="001A5A38">
        <w:rPr>
          <w:rFonts w:ascii="Arial" w:eastAsia="Times New Roman" w:hAnsi="Arial" w:cs="Arial"/>
          <w:color w:val="111111"/>
          <w:sz w:val="20"/>
          <w:szCs w:val="20"/>
          <w:lang w:eastAsia="es-AR"/>
        </w:rPr>
        <w:t>Que, como consecuencia de lo expuesto en los considerandos precedentes, corresponde crear el Sistema de Vigilancia y Control de Sustancias y Agentes Cancerígenos (S.V.C.C.), aprobar el Anexo I IF-2019-87690501-APN-GP#SRT “Listado de Sustancias y Agentes Cancerígenos”, Anexo II IF-2019-88056241-APN-GP#SRT “Procedimiento para Informar la presencia de Sustancias y Agentes Cancerígenos” y el Anexo III IF-2019-87699049-APN-GP#SRT “Listado de Códigos de Agentes de Riesgo”.</w:t>
      </w:r>
    </w:p>
    <w:p w:rsidR="001A5A38" w:rsidRPr="001A5A38" w:rsidRDefault="001A5A38" w:rsidP="001A5A38">
      <w:pPr>
        <w:shd w:val="clear" w:color="auto" w:fill="F9F9F9"/>
        <w:spacing w:after="360" w:line="240" w:lineRule="auto"/>
        <w:jc w:val="both"/>
        <w:rPr>
          <w:rFonts w:ascii="Arial" w:eastAsia="Times New Roman" w:hAnsi="Arial" w:cs="Arial"/>
          <w:color w:val="111111"/>
          <w:sz w:val="20"/>
          <w:szCs w:val="20"/>
          <w:lang w:eastAsia="es-AR"/>
        </w:rPr>
      </w:pPr>
      <w:r w:rsidRPr="001A5A38">
        <w:rPr>
          <w:rFonts w:ascii="Arial" w:eastAsia="Times New Roman" w:hAnsi="Arial" w:cs="Arial"/>
          <w:color w:val="111111"/>
          <w:sz w:val="20"/>
          <w:szCs w:val="20"/>
          <w:lang w:eastAsia="es-AR"/>
        </w:rPr>
        <w:t>Que se entiende pertinente delegar en la Gerencia de Prevención la potestad de modificar el Procedimiento para informar la presencia de Sustancias y Agentes Cancerígenos y el Listado de Códigos de Agentes de Riesgo y en la Subgerencia de Sistemas, previa intervención del Departamento de Control de Riesgos, la facultad para modificar métodos y estructura de datos del S.V.C.C..</w:t>
      </w:r>
    </w:p>
    <w:p w:rsidR="001A5A38" w:rsidRPr="001A5A38" w:rsidRDefault="001A5A38" w:rsidP="001A5A38">
      <w:pPr>
        <w:shd w:val="clear" w:color="auto" w:fill="F9F9F9"/>
        <w:spacing w:after="360" w:line="240" w:lineRule="auto"/>
        <w:jc w:val="both"/>
        <w:rPr>
          <w:rFonts w:ascii="Arial" w:eastAsia="Times New Roman" w:hAnsi="Arial" w:cs="Arial"/>
          <w:color w:val="111111"/>
          <w:sz w:val="20"/>
          <w:szCs w:val="20"/>
          <w:lang w:eastAsia="es-AR"/>
        </w:rPr>
      </w:pPr>
      <w:r w:rsidRPr="001A5A38">
        <w:rPr>
          <w:rFonts w:ascii="Arial" w:eastAsia="Times New Roman" w:hAnsi="Arial" w:cs="Arial"/>
          <w:color w:val="111111"/>
          <w:sz w:val="20"/>
          <w:szCs w:val="20"/>
          <w:lang w:eastAsia="es-AR"/>
        </w:rPr>
        <w:t xml:space="preserve">Que como consecuencia del dictado de esta norma corresponde derogar las Resoluciones S.R.T. N° 415/02 (“Registro de Sustancias y Agentes Cancerígenos”), N° 497 de fecha 01 de septiembre de 2003 (Registro de </w:t>
      </w:r>
      <w:proofErr w:type="spellStart"/>
      <w:r w:rsidRPr="001A5A38">
        <w:rPr>
          <w:rFonts w:ascii="Arial" w:eastAsia="Times New Roman" w:hAnsi="Arial" w:cs="Arial"/>
          <w:color w:val="111111"/>
          <w:sz w:val="20"/>
          <w:szCs w:val="20"/>
          <w:lang w:eastAsia="es-AR"/>
        </w:rPr>
        <w:t>Difenilos</w:t>
      </w:r>
      <w:proofErr w:type="spellEnd"/>
      <w:r w:rsidRPr="001A5A38">
        <w:rPr>
          <w:rFonts w:ascii="Arial" w:eastAsia="Times New Roman" w:hAnsi="Arial" w:cs="Arial"/>
          <w:color w:val="111111"/>
          <w:sz w:val="20"/>
          <w:szCs w:val="20"/>
          <w:lang w:eastAsia="es-AR"/>
        </w:rPr>
        <w:t xml:space="preserve"> </w:t>
      </w:r>
      <w:proofErr w:type="spellStart"/>
      <w:r w:rsidRPr="001A5A38">
        <w:rPr>
          <w:rFonts w:ascii="Arial" w:eastAsia="Times New Roman" w:hAnsi="Arial" w:cs="Arial"/>
          <w:color w:val="111111"/>
          <w:sz w:val="20"/>
          <w:szCs w:val="20"/>
          <w:lang w:eastAsia="es-AR"/>
        </w:rPr>
        <w:t>Policlorados</w:t>
      </w:r>
      <w:proofErr w:type="spellEnd"/>
      <w:r w:rsidRPr="001A5A38">
        <w:rPr>
          <w:rFonts w:ascii="Arial" w:eastAsia="Times New Roman" w:hAnsi="Arial" w:cs="Arial"/>
          <w:color w:val="111111"/>
          <w:sz w:val="20"/>
          <w:szCs w:val="20"/>
          <w:lang w:eastAsia="es-AR"/>
        </w:rPr>
        <w:t>), N° 583/07 (Estructura de datos a emplear por las A.R.T. para remitir información al Registro) y N° 844/17 (Listado de Sustancias y Agentes Cancerígenos), así como de la Disposición de la Gerencia de Prevención (G.P.) N° 2 de fecha 28 de mayo de 2014 (Codificación de Agentes de Riesgo).</w:t>
      </w:r>
    </w:p>
    <w:p w:rsidR="001A5A38" w:rsidRPr="001A5A38" w:rsidRDefault="001A5A38" w:rsidP="001A5A38">
      <w:pPr>
        <w:shd w:val="clear" w:color="auto" w:fill="F9F9F9"/>
        <w:spacing w:after="360" w:line="240" w:lineRule="auto"/>
        <w:jc w:val="both"/>
        <w:rPr>
          <w:rFonts w:ascii="Arial" w:eastAsia="Times New Roman" w:hAnsi="Arial" w:cs="Arial"/>
          <w:color w:val="111111"/>
          <w:sz w:val="20"/>
          <w:szCs w:val="20"/>
          <w:lang w:eastAsia="es-AR"/>
        </w:rPr>
      </w:pPr>
      <w:r w:rsidRPr="001A5A38">
        <w:rPr>
          <w:rFonts w:ascii="Arial" w:eastAsia="Times New Roman" w:hAnsi="Arial" w:cs="Arial"/>
          <w:color w:val="111111"/>
          <w:sz w:val="20"/>
          <w:szCs w:val="20"/>
          <w:lang w:eastAsia="es-AR"/>
        </w:rPr>
        <w:t>Que la Gerencia de Asuntos Jurídicos y Normativos de la S.R.T. emitió el pertinente dictamen de legalidad, conforme lo dispone el artículo 7º, inciso d) de la Ley Nº 19.549.</w:t>
      </w:r>
    </w:p>
    <w:p w:rsidR="001A5A38" w:rsidRPr="001A5A38" w:rsidRDefault="001A5A38" w:rsidP="001A5A38">
      <w:pPr>
        <w:shd w:val="clear" w:color="auto" w:fill="F9F9F9"/>
        <w:spacing w:after="360" w:line="240" w:lineRule="auto"/>
        <w:jc w:val="both"/>
        <w:rPr>
          <w:rFonts w:ascii="Arial" w:eastAsia="Times New Roman" w:hAnsi="Arial" w:cs="Arial"/>
          <w:color w:val="111111"/>
          <w:sz w:val="20"/>
          <w:szCs w:val="20"/>
          <w:lang w:eastAsia="es-AR"/>
        </w:rPr>
      </w:pPr>
      <w:r w:rsidRPr="001A5A38">
        <w:rPr>
          <w:rFonts w:ascii="Arial" w:eastAsia="Times New Roman" w:hAnsi="Arial" w:cs="Arial"/>
          <w:color w:val="111111"/>
          <w:sz w:val="20"/>
          <w:szCs w:val="20"/>
          <w:lang w:eastAsia="es-AR"/>
        </w:rPr>
        <w:t>Que la presente se dicta en virtud de las facultades conferidas en el artículo 1°, apartado 2, inciso a) y artículo 36 apartado 1, incisos a), b), c) y g) de la Ley Nº 24.557, en los artículos 17 y 19 del Decreto Nº 170 de fecha 21 de febrero de 1996, artículo 2° del Decreto N° 351 de fecha 5 de febrero de 1979, artículo 3° del Decreto N° 911 de fecha 5 de agosto de 1996, artículo 2° del Decreto N° 617 de fecha 7 de julio de 1997, artículo 2° del Decreto N° 249 de fecha 20 de marzo de 2007, en cumplimiento de lo dispuesto en el artículo 1°, inciso b) de la Ley N° 19.549.</w:t>
      </w:r>
    </w:p>
    <w:p w:rsidR="001A5A38" w:rsidRPr="001A5A38" w:rsidRDefault="001A5A38" w:rsidP="001A5A38">
      <w:pPr>
        <w:shd w:val="clear" w:color="auto" w:fill="F9F9F9"/>
        <w:spacing w:after="360" w:line="240" w:lineRule="auto"/>
        <w:jc w:val="both"/>
        <w:rPr>
          <w:rFonts w:ascii="Arial" w:eastAsia="Times New Roman" w:hAnsi="Arial" w:cs="Arial"/>
          <w:color w:val="111111"/>
          <w:sz w:val="20"/>
          <w:szCs w:val="20"/>
          <w:lang w:eastAsia="es-AR"/>
        </w:rPr>
      </w:pPr>
      <w:r w:rsidRPr="001A5A38">
        <w:rPr>
          <w:rFonts w:ascii="Arial" w:eastAsia="Times New Roman" w:hAnsi="Arial" w:cs="Arial"/>
          <w:color w:val="111111"/>
          <w:sz w:val="20"/>
          <w:szCs w:val="20"/>
          <w:lang w:eastAsia="es-AR"/>
        </w:rPr>
        <w:t>Por ello,</w:t>
      </w:r>
    </w:p>
    <w:p w:rsidR="001A5A38" w:rsidRPr="001A5A38" w:rsidRDefault="001A5A38" w:rsidP="001A5A38">
      <w:pPr>
        <w:shd w:val="clear" w:color="auto" w:fill="F9F9F9"/>
        <w:spacing w:after="360" w:line="240" w:lineRule="auto"/>
        <w:jc w:val="both"/>
        <w:rPr>
          <w:rFonts w:ascii="Arial" w:eastAsia="Times New Roman" w:hAnsi="Arial" w:cs="Arial"/>
          <w:color w:val="111111"/>
          <w:sz w:val="20"/>
          <w:szCs w:val="20"/>
          <w:lang w:eastAsia="es-AR"/>
        </w:rPr>
      </w:pPr>
      <w:r w:rsidRPr="001A5A38">
        <w:rPr>
          <w:rFonts w:ascii="Arial" w:eastAsia="Times New Roman" w:hAnsi="Arial" w:cs="Arial"/>
          <w:color w:val="111111"/>
          <w:sz w:val="20"/>
          <w:szCs w:val="20"/>
          <w:lang w:eastAsia="es-AR"/>
        </w:rPr>
        <w:t>EL SUPERINTENDENTE DE RIESGOS DEL TRABAJO</w:t>
      </w:r>
    </w:p>
    <w:p w:rsidR="001A5A38" w:rsidRPr="001A5A38" w:rsidRDefault="001A5A38" w:rsidP="001A5A38">
      <w:pPr>
        <w:shd w:val="clear" w:color="auto" w:fill="F9F9F9"/>
        <w:spacing w:after="360" w:line="240" w:lineRule="auto"/>
        <w:jc w:val="both"/>
        <w:rPr>
          <w:rFonts w:ascii="Arial" w:eastAsia="Times New Roman" w:hAnsi="Arial" w:cs="Arial"/>
          <w:color w:val="111111"/>
          <w:sz w:val="20"/>
          <w:szCs w:val="20"/>
          <w:lang w:eastAsia="es-AR"/>
        </w:rPr>
      </w:pPr>
      <w:r w:rsidRPr="001A5A38">
        <w:rPr>
          <w:rFonts w:ascii="Arial" w:eastAsia="Times New Roman" w:hAnsi="Arial" w:cs="Arial"/>
          <w:color w:val="111111"/>
          <w:sz w:val="20"/>
          <w:szCs w:val="20"/>
          <w:lang w:eastAsia="es-AR"/>
        </w:rPr>
        <w:t>RESUELVE:</w:t>
      </w:r>
    </w:p>
    <w:p w:rsidR="001A5A38" w:rsidRPr="001A5A38" w:rsidRDefault="001A5A38" w:rsidP="001A5A38">
      <w:pPr>
        <w:shd w:val="clear" w:color="auto" w:fill="F9F9F9"/>
        <w:spacing w:after="360" w:line="240" w:lineRule="auto"/>
        <w:jc w:val="both"/>
        <w:rPr>
          <w:rFonts w:ascii="Arial" w:eastAsia="Times New Roman" w:hAnsi="Arial" w:cs="Arial"/>
          <w:color w:val="111111"/>
          <w:sz w:val="20"/>
          <w:szCs w:val="20"/>
          <w:lang w:eastAsia="es-AR"/>
        </w:rPr>
      </w:pPr>
      <w:r w:rsidRPr="001A5A38">
        <w:rPr>
          <w:rFonts w:ascii="Arial" w:eastAsia="Times New Roman" w:hAnsi="Arial" w:cs="Arial"/>
          <w:color w:val="111111"/>
          <w:sz w:val="20"/>
          <w:szCs w:val="20"/>
          <w:lang w:eastAsia="es-AR"/>
        </w:rPr>
        <w:lastRenderedPageBreak/>
        <w:t xml:space="preserve">ARTÍCULO 1°.- </w:t>
      </w:r>
      <w:proofErr w:type="spellStart"/>
      <w:r w:rsidRPr="001A5A38">
        <w:rPr>
          <w:rFonts w:ascii="Arial" w:eastAsia="Times New Roman" w:hAnsi="Arial" w:cs="Arial"/>
          <w:color w:val="111111"/>
          <w:sz w:val="20"/>
          <w:szCs w:val="20"/>
          <w:lang w:eastAsia="es-AR"/>
        </w:rPr>
        <w:t>Creáse</w:t>
      </w:r>
      <w:proofErr w:type="spellEnd"/>
      <w:r w:rsidRPr="001A5A38">
        <w:rPr>
          <w:rFonts w:ascii="Arial" w:eastAsia="Times New Roman" w:hAnsi="Arial" w:cs="Arial"/>
          <w:color w:val="111111"/>
          <w:sz w:val="20"/>
          <w:szCs w:val="20"/>
          <w:lang w:eastAsia="es-AR"/>
        </w:rPr>
        <w:t xml:space="preserve"> en el ámbito de esta SUPERINTENDENCIA DE RIESGOS DEL TRABAJO (S.R.T.) el Sistema de Vigilancia y Control de Sustancias y Agentes Cancerígenos, en adelante </w:t>
      </w:r>
      <w:proofErr w:type="gramStart"/>
      <w:r w:rsidRPr="001A5A38">
        <w:rPr>
          <w:rFonts w:ascii="Arial" w:eastAsia="Times New Roman" w:hAnsi="Arial" w:cs="Arial"/>
          <w:color w:val="111111"/>
          <w:sz w:val="20"/>
          <w:szCs w:val="20"/>
          <w:lang w:eastAsia="es-AR"/>
        </w:rPr>
        <w:t>S.V.C.C..</w:t>
      </w:r>
      <w:proofErr w:type="gramEnd"/>
    </w:p>
    <w:p w:rsidR="001A5A38" w:rsidRPr="001A5A38" w:rsidRDefault="001A5A38" w:rsidP="001A5A38">
      <w:pPr>
        <w:shd w:val="clear" w:color="auto" w:fill="F9F9F9"/>
        <w:spacing w:after="360" w:line="240" w:lineRule="auto"/>
        <w:jc w:val="both"/>
        <w:rPr>
          <w:rFonts w:ascii="Arial" w:eastAsia="Times New Roman" w:hAnsi="Arial" w:cs="Arial"/>
          <w:color w:val="111111"/>
          <w:sz w:val="20"/>
          <w:szCs w:val="20"/>
          <w:lang w:eastAsia="es-AR"/>
        </w:rPr>
      </w:pPr>
      <w:r w:rsidRPr="001A5A38">
        <w:rPr>
          <w:rFonts w:ascii="Arial" w:eastAsia="Times New Roman" w:hAnsi="Arial" w:cs="Arial"/>
          <w:color w:val="111111"/>
          <w:sz w:val="20"/>
          <w:szCs w:val="20"/>
          <w:lang w:eastAsia="es-AR"/>
        </w:rPr>
        <w:t xml:space="preserve">ARTÍCULO 2°.- </w:t>
      </w:r>
      <w:proofErr w:type="spellStart"/>
      <w:r w:rsidRPr="001A5A38">
        <w:rPr>
          <w:rFonts w:ascii="Arial" w:eastAsia="Times New Roman" w:hAnsi="Arial" w:cs="Arial"/>
          <w:color w:val="111111"/>
          <w:sz w:val="20"/>
          <w:szCs w:val="20"/>
          <w:lang w:eastAsia="es-AR"/>
        </w:rPr>
        <w:t>Apruébase</w:t>
      </w:r>
      <w:proofErr w:type="spellEnd"/>
      <w:r w:rsidRPr="001A5A38">
        <w:rPr>
          <w:rFonts w:ascii="Arial" w:eastAsia="Times New Roman" w:hAnsi="Arial" w:cs="Arial"/>
          <w:color w:val="111111"/>
          <w:sz w:val="20"/>
          <w:szCs w:val="20"/>
          <w:lang w:eastAsia="es-AR"/>
        </w:rPr>
        <w:t xml:space="preserve"> el “Listado de Sustancias y Agentes Cancerígenos” que como Anexo I, IF-2019-87690501-APN-GP#SRT, integra la presente resolución.</w:t>
      </w:r>
    </w:p>
    <w:p w:rsidR="001A5A38" w:rsidRPr="001A5A38" w:rsidRDefault="001A5A38" w:rsidP="001A5A38">
      <w:pPr>
        <w:shd w:val="clear" w:color="auto" w:fill="F9F9F9"/>
        <w:spacing w:after="360" w:line="240" w:lineRule="auto"/>
        <w:jc w:val="both"/>
        <w:rPr>
          <w:rFonts w:ascii="Arial" w:eastAsia="Times New Roman" w:hAnsi="Arial" w:cs="Arial"/>
          <w:color w:val="111111"/>
          <w:sz w:val="20"/>
          <w:szCs w:val="20"/>
          <w:lang w:eastAsia="es-AR"/>
        </w:rPr>
      </w:pPr>
      <w:r w:rsidRPr="001A5A38">
        <w:rPr>
          <w:rFonts w:ascii="Arial" w:eastAsia="Times New Roman" w:hAnsi="Arial" w:cs="Arial"/>
          <w:color w:val="111111"/>
          <w:sz w:val="20"/>
          <w:szCs w:val="20"/>
          <w:lang w:eastAsia="es-AR"/>
        </w:rPr>
        <w:t xml:space="preserve">ARTÍCULO 3°.- </w:t>
      </w:r>
      <w:proofErr w:type="spellStart"/>
      <w:r w:rsidRPr="001A5A38">
        <w:rPr>
          <w:rFonts w:ascii="Arial" w:eastAsia="Times New Roman" w:hAnsi="Arial" w:cs="Arial"/>
          <w:color w:val="111111"/>
          <w:sz w:val="20"/>
          <w:szCs w:val="20"/>
          <w:lang w:eastAsia="es-AR"/>
        </w:rPr>
        <w:t>Apruébase</w:t>
      </w:r>
      <w:proofErr w:type="spellEnd"/>
      <w:r w:rsidRPr="001A5A38">
        <w:rPr>
          <w:rFonts w:ascii="Arial" w:eastAsia="Times New Roman" w:hAnsi="Arial" w:cs="Arial"/>
          <w:color w:val="111111"/>
          <w:sz w:val="20"/>
          <w:szCs w:val="20"/>
          <w:lang w:eastAsia="es-AR"/>
        </w:rPr>
        <w:t xml:space="preserve"> el “Procedimiento para informar la presencia de Sustancias y Agentes Cancerígenos” que como Anexo II, IF-2019-88056241-APN-GP#SRT, integra la presente resolución.</w:t>
      </w:r>
    </w:p>
    <w:p w:rsidR="001A5A38" w:rsidRPr="001A5A38" w:rsidRDefault="001A5A38" w:rsidP="001A5A38">
      <w:pPr>
        <w:shd w:val="clear" w:color="auto" w:fill="F9F9F9"/>
        <w:spacing w:after="360" w:line="240" w:lineRule="auto"/>
        <w:jc w:val="both"/>
        <w:rPr>
          <w:rFonts w:ascii="Arial" w:eastAsia="Times New Roman" w:hAnsi="Arial" w:cs="Arial"/>
          <w:color w:val="111111"/>
          <w:sz w:val="20"/>
          <w:szCs w:val="20"/>
          <w:lang w:eastAsia="es-AR"/>
        </w:rPr>
      </w:pPr>
      <w:r w:rsidRPr="001A5A38">
        <w:rPr>
          <w:rFonts w:ascii="Arial" w:eastAsia="Times New Roman" w:hAnsi="Arial" w:cs="Arial"/>
          <w:color w:val="111111"/>
          <w:sz w:val="20"/>
          <w:szCs w:val="20"/>
          <w:lang w:eastAsia="es-AR"/>
        </w:rPr>
        <w:t xml:space="preserve">ARTÍCULO 4°.- </w:t>
      </w:r>
      <w:proofErr w:type="spellStart"/>
      <w:r w:rsidRPr="001A5A38">
        <w:rPr>
          <w:rFonts w:ascii="Arial" w:eastAsia="Times New Roman" w:hAnsi="Arial" w:cs="Arial"/>
          <w:color w:val="111111"/>
          <w:sz w:val="20"/>
          <w:szCs w:val="20"/>
          <w:lang w:eastAsia="es-AR"/>
        </w:rPr>
        <w:t>Apruébase</w:t>
      </w:r>
      <w:proofErr w:type="spellEnd"/>
      <w:r w:rsidRPr="001A5A38">
        <w:rPr>
          <w:rFonts w:ascii="Arial" w:eastAsia="Times New Roman" w:hAnsi="Arial" w:cs="Arial"/>
          <w:color w:val="111111"/>
          <w:sz w:val="20"/>
          <w:szCs w:val="20"/>
          <w:lang w:eastAsia="es-AR"/>
        </w:rPr>
        <w:t xml:space="preserve"> el “Listado de Códigos de Agentes de Riesgo” que como Anexo III IF-2019-87699049-APN-GP#SRT, integra la presente resolución.</w:t>
      </w:r>
    </w:p>
    <w:p w:rsidR="001A5A38" w:rsidRPr="001A5A38" w:rsidRDefault="001A5A38" w:rsidP="001A5A38">
      <w:pPr>
        <w:shd w:val="clear" w:color="auto" w:fill="F9F9F9"/>
        <w:spacing w:after="360" w:line="240" w:lineRule="auto"/>
        <w:jc w:val="both"/>
        <w:rPr>
          <w:rFonts w:ascii="Arial" w:eastAsia="Times New Roman" w:hAnsi="Arial" w:cs="Arial"/>
          <w:color w:val="111111"/>
          <w:sz w:val="20"/>
          <w:szCs w:val="20"/>
          <w:lang w:eastAsia="es-AR"/>
        </w:rPr>
      </w:pPr>
      <w:r w:rsidRPr="001A5A38">
        <w:rPr>
          <w:rFonts w:ascii="Arial" w:eastAsia="Times New Roman" w:hAnsi="Arial" w:cs="Arial"/>
          <w:color w:val="111111"/>
          <w:sz w:val="20"/>
          <w:szCs w:val="20"/>
          <w:lang w:eastAsia="es-AR"/>
        </w:rPr>
        <w:t xml:space="preserve">ARTÍCULO 5°.- </w:t>
      </w:r>
      <w:proofErr w:type="spellStart"/>
      <w:r w:rsidRPr="001A5A38">
        <w:rPr>
          <w:rFonts w:ascii="Arial" w:eastAsia="Times New Roman" w:hAnsi="Arial" w:cs="Arial"/>
          <w:color w:val="111111"/>
          <w:sz w:val="20"/>
          <w:szCs w:val="20"/>
          <w:lang w:eastAsia="es-AR"/>
        </w:rPr>
        <w:t>Establécese</w:t>
      </w:r>
      <w:proofErr w:type="spellEnd"/>
      <w:r w:rsidRPr="001A5A38">
        <w:rPr>
          <w:rFonts w:ascii="Arial" w:eastAsia="Times New Roman" w:hAnsi="Arial" w:cs="Arial"/>
          <w:color w:val="111111"/>
          <w:sz w:val="20"/>
          <w:szCs w:val="20"/>
          <w:lang w:eastAsia="es-AR"/>
        </w:rPr>
        <w:t xml:space="preserve"> la obligatoriedad de la inscripción en el S.V.C.C. de todos los empleadores que en sus establecimientos produzcan, importen, utilicen, obtengan en procesos intermedios, vendan y/o cedan a título gratuito las sustancias o agentes que se enumeran en el Anexo I IF-2019-87690501-APN-GP#SRT de la presente, así como todos aquellos que en función de sus procesos productivos, actividades económicas o con motivo de circunstancias medioambientales, estén alcanzados por las previsiones del Anexo II IF-2019-88056241-APN-GP#SRT de la presente resolución.</w:t>
      </w:r>
    </w:p>
    <w:p w:rsidR="001A5A38" w:rsidRPr="001A5A38" w:rsidRDefault="001A5A38" w:rsidP="001A5A38">
      <w:pPr>
        <w:shd w:val="clear" w:color="auto" w:fill="F9F9F9"/>
        <w:spacing w:after="360" w:line="240" w:lineRule="auto"/>
        <w:jc w:val="both"/>
        <w:rPr>
          <w:rFonts w:ascii="Arial" w:eastAsia="Times New Roman" w:hAnsi="Arial" w:cs="Arial"/>
          <w:color w:val="111111"/>
          <w:sz w:val="20"/>
          <w:szCs w:val="20"/>
          <w:lang w:eastAsia="es-AR"/>
        </w:rPr>
      </w:pPr>
      <w:r w:rsidRPr="001A5A38">
        <w:rPr>
          <w:rFonts w:ascii="Arial" w:eastAsia="Times New Roman" w:hAnsi="Arial" w:cs="Arial"/>
          <w:color w:val="111111"/>
          <w:sz w:val="20"/>
          <w:szCs w:val="20"/>
          <w:lang w:eastAsia="es-AR"/>
        </w:rPr>
        <w:t xml:space="preserve">ARTÍCULO 6°.- </w:t>
      </w:r>
      <w:proofErr w:type="spellStart"/>
      <w:r w:rsidRPr="001A5A38">
        <w:rPr>
          <w:rFonts w:ascii="Arial" w:eastAsia="Times New Roman" w:hAnsi="Arial" w:cs="Arial"/>
          <w:color w:val="111111"/>
          <w:sz w:val="20"/>
          <w:szCs w:val="20"/>
          <w:lang w:eastAsia="es-AR"/>
        </w:rPr>
        <w:t>Establécese</w:t>
      </w:r>
      <w:proofErr w:type="spellEnd"/>
      <w:r w:rsidRPr="001A5A38">
        <w:rPr>
          <w:rFonts w:ascii="Arial" w:eastAsia="Times New Roman" w:hAnsi="Arial" w:cs="Arial"/>
          <w:color w:val="111111"/>
          <w:sz w:val="20"/>
          <w:szCs w:val="20"/>
          <w:lang w:eastAsia="es-AR"/>
        </w:rPr>
        <w:t xml:space="preserve"> que la inscripción de los empleadores en el S.V.C.C. deberá efectuarse por medio de la Aseguradora de Riesgos del Trabajo (A.R.T.), con contrato vigente con el empleador, de acuerdo al procedimiento establecido en el Anexo II IF-2019-88056241-APN-GP#SRT de la presente resolución.</w:t>
      </w:r>
    </w:p>
    <w:p w:rsidR="001A5A38" w:rsidRPr="001A5A38" w:rsidRDefault="001A5A38" w:rsidP="001A5A38">
      <w:pPr>
        <w:shd w:val="clear" w:color="auto" w:fill="F9F9F9"/>
        <w:spacing w:after="360" w:line="240" w:lineRule="auto"/>
        <w:jc w:val="both"/>
        <w:rPr>
          <w:rFonts w:ascii="Arial" w:eastAsia="Times New Roman" w:hAnsi="Arial" w:cs="Arial"/>
          <w:color w:val="111111"/>
          <w:sz w:val="20"/>
          <w:szCs w:val="20"/>
          <w:lang w:eastAsia="es-AR"/>
        </w:rPr>
      </w:pPr>
      <w:r w:rsidRPr="001A5A38">
        <w:rPr>
          <w:rFonts w:ascii="Arial" w:eastAsia="Times New Roman" w:hAnsi="Arial" w:cs="Arial"/>
          <w:color w:val="111111"/>
          <w:sz w:val="20"/>
          <w:szCs w:val="20"/>
          <w:lang w:eastAsia="es-AR"/>
        </w:rPr>
        <w:t xml:space="preserve">ARTÍCULO 7°.- A fin de la adecuada instrumentación de la inscripción prevista en el artículo precedente, las Aseguradoras de Riesgo del Trabajo (A.R.T.) y los Empleadores </w:t>
      </w:r>
      <w:proofErr w:type="spellStart"/>
      <w:r w:rsidRPr="001A5A38">
        <w:rPr>
          <w:rFonts w:ascii="Arial" w:eastAsia="Times New Roman" w:hAnsi="Arial" w:cs="Arial"/>
          <w:color w:val="111111"/>
          <w:sz w:val="20"/>
          <w:szCs w:val="20"/>
          <w:lang w:eastAsia="es-AR"/>
        </w:rPr>
        <w:t>Autoasegurados</w:t>
      </w:r>
      <w:proofErr w:type="spellEnd"/>
      <w:r w:rsidRPr="001A5A38">
        <w:rPr>
          <w:rFonts w:ascii="Arial" w:eastAsia="Times New Roman" w:hAnsi="Arial" w:cs="Arial"/>
          <w:color w:val="111111"/>
          <w:sz w:val="20"/>
          <w:szCs w:val="20"/>
          <w:lang w:eastAsia="es-AR"/>
        </w:rPr>
        <w:t xml:space="preserve"> (E.A.) deberán crear y mantener un sistema electrónico de resguardo y administración mediante el cual los Empleadores o sus responsables de Higiene y Seguridad puedan ingresar y completar, con carácter de declaración jurada, los datos requeridos por el </w:t>
      </w:r>
      <w:proofErr w:type="gramStart"/>
      <w:r w:rsidRPr="001A5A38">
        <w:rPr>
          <w:rFonts w:ascii="Arial" w:eastAsia="Times New Roman" w:hAnsi="Arial" w:cs="Arial"/>
          <w:color w:val="111111"/>
          <w:sz w:val="20"/>
          <w:szCs w:val="20"/>
          <w:lang w:eastAsia="es-AR"/>
        </w:rPr>
        <w:t>S.V.C.C..</w:t>
      </w:r>
      <w:proofErr w:type="gramEnd"/>
    </w:p>
    <w:p w:rsidR="001A5A38" w:rsidRPr="001A5A38" w:rsidRDefault="001A5A38" w:rsidP="001A5A38">
      <w:pPr>
        <w:shd w:val="clear" w:color="auto" w:fill="F9F9F9"/>
        <w:spacing w:after="360" w:line="240" w:lineRule="auto"/>
        <w:jc w:val="both"/>
        <w:rPr>
          <w:rFonts w:ascii="Arial" w:eastAsia="Times New Roman" w:hAnsi="Arial" w:cs="Arial"/>
          <w:color w:val="111111"/>
          <w:sz w:val="20"/>
          <w:szCs w:val="20"/>
          <w:lang w:eastAsia="es-AR"/>
        </w:rPr>
      </w:pPr>
      <w:r w:rsidRPr="001A5A38">
        <w:rPr>
          <w:rFonts w:ascii="Arial" w:eastAsia="Times New Roman" w:hAnsi="Arial" w:cs="Arial"/>
          <w:color w:val="111111"/>
          <w:sz w:val="20"/>
          <w:szCs w:val="20"/>
          <w:lang w:eastAsia="es-AR"/>
        </w:rPr>
        <w:t xml:space="preserve">Las A.R.T. y los Empleadores </w:t>
      </w:r>
      <w:proofErr w:type="spellStart"/>
      <w:r w:rsidRPr="001A5A38">
        <w:rPr>
          <w:rFonts w:ascii="Arial" w:eastAsia="Times New Roman" w:hAnsi="Arial" w:cs="Arial"/>
          <w:color w:val="111111"/>
          <w:sz w:val="20"/>
          <w:szCs w:val="20"/>
          <w:lang w:eastAsia="es-AR"/>
        </w:rPr>
        <w:t>Autoasegurados</w:t>
      </w:r>
      <w:proofErr w:type="spellEnd"/>
      <w:r w:rsidRPr="001A5A38">
        <w:rPr>
          <w:rFonts w:ascii="Arial" w:eastAsia="Times New Roman" w:hAnsi="Arial" w:cs="Arial"/>
          <w:color w:val="111111"/>
          <w:sz w:val="20"/>
          <w:szCs w:val="20"/>
          <w:lang w:eastAsia="es-AR"/>
        </w:rPr>
        <w:t xml:space="preserve"> (E.A.) son responsables de resguardar la seguridad e integridad de los datos declarados por los Empleadores y de mantener un método de identificación de los usuarios que informan dichos datos, que resulte claro y eficaz.</w:t>
      </w:r>
    </w:p>
    <w:p w:rsidR="001A5A38" w:rsidRPr="001A5A38" w:rsidRDefault="001A5A38" w:rsidP="001A5A38">
      <w:pPr>
        <w:shd w:val="clear" w:color="auto" w:fill="F9F9F9"/>
        <w:spacing w:after="360" w:line="240" w:lineRule="auto"/>
        <w:jc w:val="both"/>
        <w:rPr>
          <w:rFonts w:ascii="Arial" w:eastAsia="Times New Roman" w:hAnsi="Arial" w:cs="Arial"/>
          <w:color w:val="111111"/>
          <w:sz w:val="20"/>
          <w:szCs w:val="20"/>
          <w:lang w:eastAsia="es-AR"/>
        </w:rPr>
      </w:pPr>
      <w:r w:rsidRPr="001A5A38">
        <w:rPr>
          <w:rFonts w:ascii="Arial" w:eastAsia="Times New Roman" w:hAnsi="Arial" w:cs="Arial"/>
          <w:color w:val="111111"/>
          <w:sz w:val="20"/>
          <w:szCs w:val="20"/>
          <w:lang w:eastAsia="es-AR"/>
        </w:rPr>
        <w:t>ARTÍCULO 8°.- Los E.A. que se encuentren alcanzados por alguno de los supuestos descriptos en el artículo 5° de la presente resolución deberán realizar por sí mismos ante la S.R.T., el trámite de inscripción en el S.V.C.C., siguiendo idénticos procedimientos a los dispuestos para las A.R.T..</w:t>
      </w:r>
    </w:p>
    <w:p w:rsidR="001A5A38" w:rsidRPr="001A5A38" w:rsidRDefault="001A5A38" w:rsidP="001A5A38">
      <w:pPr>
        <w:shd w:val="clear" w:color="auto" w:fill="F9F9F9"/>
        <w:spacing w:after="360" w:line="240" w:lineRule="auto"/>
        <w:jc w:val="both"/>
        <w:rPr>
          <w:rFonts w:ascii="Arial" w:eastAsia="Times New Roman" w:hAnsi="Arial" w:cs="Arial"/>
          <w:color w:val="111111"/>
          <w:sz w:val="20"/>
          <w:szCs w:val="20"/>
          <w:lang w:eastAsia="es-AR"/>
        </w:rPr>
      </w:pPr>
      <w:r w:rsidRPr="001A5A38">
        <w:rPr>
          <w:rFonts w:ascii="Arial" w:eastAsia="Times New Roman" w:hAnsi="Arial" w:cs="Arial"/>
          <w:color w:val="111111"/>
          <w:sz w:val="20"/>
          <w:szCs w:val="20"/>
          <w:lang w:eastAsia="es-AR"/>
        </w:rPr>
        <w:t>ARTÍCULO 9°.- Los incumplimientos a la presente resolución, tanto por parte de las A.R.T. y E.A., serán pasibles de sanciones de acuerdo a lo dispuesto en el artículo 32 de la Ley N° 24.557 y los empleadores, conforme a lo dispuesto en el Anexo II del Pacto Federal del Trabajo, ratificado por la Ley N° 25.212.</w:t>
      </w:r>
    </w:p>
    <w:p w:rsidR="001A5A38" w:rsidRPr="001A5A38" w:rsidRDefault="001A5A38" w:rsidP="001A5A38">
      <w:pPr>
        <w:shd w:val="clear" w:color="auto" w:fill="F9F9F9"/>
        <w:spacing w:after="360" w:line="240" w:lineRule="auto"/>
        <w:jc w:val="both"/>
        <w:rPr>
          <w:rFonts w:ascii="Arial" w:eastAsia="Times New Roman" w:hAnsi="Arial" w:cs="Arial"/>
          <w:color w:val="111111"/>
          <w:sz w:val="20"/>
          <w:szCs w:val="20"/>
          <w:lang w:eastAsia="es-AR"/>
        </w:rPr>
      </w:pPr>
      <w:r w:rsidRPr="001A5A38">
        <w:rPr>
          <w:rFonts w:ascii="Arial" w:eastAsia="Times New Roman" w:hAnsi="Arial" w:cs="Arial"/>
          <w:color w:val="111111"/>
          <w:sz w:val="20"/>
          <w:szCs w:val="20"/>
          <w:lang w:eastAsia="es-AR"/>
        </w:rPr>
        <w:t>ARTÍCULO 10.- Modifíquese el “Listado de Sustancias y Agentes Cancerígenos” del Anexo I Planilla A de la Resolución S.R.T. N° 463 de fecha 11 de mayo de 2009, a fin de incorporar las nuevas sustancias y agentes descriptos en el Anexo I IF-2019-87690501-APN-GP#SRT de la presente resolución.</w:t>
      </w:r>
    </w:p>
    <w:p w:rsidR="001A5A38" w:rsidRPr="001A5A38" w:rsidRDefault="001A5A38" w:rsidP="001A5A38">
      <w:pPr>
        <w:shd w:val="clear" w:color="auto" w:fill="F9F9F9"/>
        <w:spacing w:after="360" w:line="240" w:lineRule="auto"/>
        <w:jc w:val="both"/>
        <w:rPr>
          <w:rFonts w:ascii="Arial" w:eastAsia="Times New Roman" w:hAnsi="Arial" w:cs="Arial"/>
          <w:color w:val="111111"/>
          <w:sz w:val="20"/>
          <w:szCs w:val="20"/>
          <w:lang w:eastAsia="es-AR"/>
        </w:rPr>
      </w:pPr>
      <w:r w:rsidRPr="001A5A38">
        <w:rPr>
          <w:rFonts w:ascii="Arial" w:eastAsia="Times New Roman" w:hAnsi="Arial" w:cs="Arial"/>
          <w:color w:val="111111"/>
          <w:sz w:val="20"/>
          <w:szCs w:val="20"/>
          <w:lang w:eastAsia="es-AR"/>
        </w:rPr>
        <w:t xml:space="preserve">ARTÍCULO 11.- </w:t>
      </w:r>
      <w:proofErr w:type="spellStart"/>
      <w:r w:rsidRPr="001A5A38">
        <w:rPr>
          <w:rFonts w:ascii="Arial" w:eastAsia="Times New Roman" w:hAnsi="Arial" w:cs="Arial"/>
          <w:color w:val="111111"/>
          <w:sz w:val="20"/>
          <w:szCs w:val="20"/>
          <w:lang w:eastAsia="es-AR"/>
        </w:rPr>
        <w:t>Establécese</w:t>
      </w:r>
      <w:proofErr w:type="spellEnd"/>
      <w:r w:rsidRPr="001A5A38">
        <w:rPr>
          <w:rFonts w:ascii="Arial" w:eastAsia="Times New Roman" w:hAnsi="Arial" w:cs="Arial"/>
          <w:color w:val="111111"/>
          <w:sz w:val="20"/>
          <w:szCs w:val="20"/>
          <w:lang w:eastAsia="es-AR"/>
        </w:rPr>
        <w:t xml:space="preserve"> que los empleadores deberán conservar las Historias Clínicas de los trabajadores potencialmente expuestos a las sustancias y agentes previstos en el Anexo I IF-2019-</w:t>
      </w:r>
      <w:r w:rsidRPr="001A5A38">
        <w:rPr>
          <w:rFonts w:ascii="Arial" w:eastAsia="Times New Roman" w:hAnsi="Arial" w:cs="Arial"/>
          <w:color w:val="111111"/>
          <w:sz w:val="20"/>
          <w:szCs w:val="20"/>
          <w:lang w:eastAsia="es-AR"/>
        </w:rPr>
        <w:lastRenderedPageBreak/>
        <w:t>87690501-APN-GP#SRT de la presente, por un período de CUARENTA (40) años luego del cese de la actividad laboral de aquellos.</w:t>
      </w:r>
    </w:p>
    <w:p w:rsidR="001A5A38" w:rsidRPr="001A5A38" w:rsidRDefault="001A5A38" w:rsidP="001A5A38">
      <w:pPr>
        <w:shd w:val="clear" w:color="auto" w:fill="F9F9F9"/>
        <w:spacing w:after="360" w:line="240" w:lineRule="auto"/>
        <w:jc w:val="both"/>
        <w:rPr>
          <w:rFonts w:ascii="Arial" w:eastAsia="Times New Roman" w:hAnsi="Arial" w:cs="Arial"/>
          <w:color w:val="111111"/>
          <w:sz w:val="20"/>
          <w:szCs w:val="20"/>
          <w:lang w:eastAsia="es-AR"/>
        </w:rPr>
      </w:pPr>
      <w:r w:rsidRPr="001A5A38">
        <w:rPr>
          <w:rFonts w:ascii="Arial" w:eastAsia="Times New Roman" w:hAnsi="Arial" w:cs="Arial"/>
          <w:color w:val="111111"/>
          <w:sz w:val="20"/>
          <w:szCs w:val="20"/>
          <w:lang w:eastAsia="es-AR"/>
        </w:rPr>
        <w:t xml:space="preserve">ARTÍCULO 12.- </w:t>
      </w:r>
      <w:proofErr w:type="spellStart"/>
      <w:r w:rsidRPr="001A5A38">
        <w:rPr>
          <w:rFonts w:ascii="Arial" w:eastAsia="Times New Roman" w:hAnsi="Arial" w:cs="Arial"/>
          <w:color w:val="111111"/>
          <w:sz w:val="20"/>
          <w:szCs w:val="20"/>
          <w:lang w:eastAsia="es-AR"/>
        </w:rPr>
        <w:t>Facúltase</w:t>
      </w:r>
      <w:proofErr w:type="spellEnd"/>
      <w:r w:rsidRPr="001A5A38">
        <w:rPr>
          <w:rFonts w:ascii="Arial" w:eastAsia="Times New Roman" w:hAnsi="Arial" w:cs="Arial"/>
          <w:color w:val="111111"/>
          <w:sz w:val="20"/>
          <w:szCs w:val="20"/>
          <w:lang w:eastAsia="es-AR"/>
        </w:rPr>
        <w:t xml:space="preserve"> a la Gerencia de Prevención a modificar los Anexos II IF-2019-88056241-APN-GP#SRT y III IF-2019-87699049-APN-GP#SRT de la presente resolución, así como a dictar normas reglamentarias y/o complementarias.</w:t>
      </w:r>
    </w:p>
    <w:p w:rsidR="001A5A38" w:rsidRPr="001A5A38" w:rsidRDefault="001A5A38" w:rsidP="001A5A38">
      <w:pPr>
        <w:shd w:val="clear" w:color="auto" w:fill="F9F9F9"/>
        <w:spacing w:after="360" w:line="240" w:lineRule="auto"/>
        <w:jc w:val="both"/>
        <w:rPr>
          <w:rFonts w:ascii="Arial" w:eastAsia="Times New Roman" w:hAnsi="Arial" w:cs="Arial"/>
          <w:color w:val="111111"/>
          <w:sz w:val="20"/>
          <w:szCs w:val="20"/>
          <w:lang w:eastAsia="es-AR"/>
        </w:rPr>
      </w:pPr>
      <w:r w:rsidRPr="001A5A38">
        <w:rPr>
          <w:rFonts w:ascii="Arial" w:eastAsia="Times New Roman" w:hAnsi="Arial" w:cs="Arial"/>
          <w:color w:val="111111"/>
          <w:sz w:val="20"/>
          <w:szCs w:val="20"/>
          <w:lang w:eastAsia="es-AR"/>
        </w:rPr>
        <w:t xml:space="preserve">ARTÍCULO 13.- </w:t>
      </w:r>
      <w:proofErr w:type="spellStart"/>
      <w:r w:rsidRPr="001A5A38">
        <w:rPr>
          <w:rFonts w:ascii="Arial" w:eastAsia="Times New Roman" w:hAnsi="Arial" w:cs="Arial"/>
          <w:color w:val="111111"/>
          <w:sz w:val="20"/>
          <w:szCs w:val="20"/>
          <w:lang w:eastAsia="es-AR"/>
        </w:rPr>
        <w:t>Facúltase</w:t>
      </w:r>
      <w:proofErr w:type="spellEnd"/>
      <w:r w:rsidRPr="001A5A38">
        <w:rPr>
          <w:rFonts w:ascii="Arial" w:eastAsia="Times New Roman" w:hAnsi="Arial" w:cs="Arial"/>
          <w:color w:val="111111"/>
          <w:sz w:val="20"/>
          <w:szCs w:val="20"/>
          <w:lang w:eastAsia="es-AR"/>
        </w:rPr>
        <w:t xml:space="preserve"> a la Subgerencia de Sistemas, con previa intervención del Departamento de Control de Riesgos, a reglamentar los métodos y estructuras de datos que deberán emplear las A.R.T</w:t>
      </w:r>
      <w:proofErr w:type="gramStart"/>
      <w:r w:rsidRPr="001A5A38">
        <w:rPr>
          <w:rFonts w:ascii="Arial" w:eastAsia="Times New Roman" w:hAnsi="Arial" w:cs="Arial"/>
          <w:color w:val="111111"/>
          <w:sz w:val="20"/>
          <w:szCs w:val="20"/>
          <w:lang w:eastAsia="es-AR"/>
        </w:rPr>
        <w:t>./</w:t>
      </w:r>
      <w:proofErr w:type="gramEnd"/>
      <w:r w:rsidRPr="001A5A38">
        <w:rPr>
          <w:rFonts w:ascii="Arial" w:eastAsia="Times New Roman" w:hAnsi="Arial" w:cs="Arial"/>
          <w:color w:val="111111"/>
          <w:sz w:val="20"/>
          <w:szCs w:val="20"/>
          <w:lang w:eastAsia="es-AR"/>
        </w:rPr>
        <w:t>E.A. para operar en el “Sistema de Vigilancia y Control de Sustancias y Agentes Cancerígenos”.</w:t>
      </w:r>
    </w:p>
    <w:p w:rsidR="001A5A38" w:rsidRPr="001A5A38" w:rsidRDefault="001A5A38" w:rsidP="001A5A38">
      <w:pPr>
        <w:shd w:val="clear" w:color="auto" w:fill="F9F9F9"/>
        <w:spacing w:after="360" w:line="240" w:lineRule="auto"/>
        <w:jc w:val="both"/>
        <w:rPr>
          <w:rFonts w:ascii="Arial" w:eastAsia="Times New Roman" w:hAnsi="Arial" w:cs="Arial"/>
          <w:color w:val="111111"/>
          <w:sz w:val="20"/>
          <w:szCs w:val="20"/>
          <w:lang w:eastAsia="es-AR"/>
        </w:rPr>
      </w:pPr>
      <w:r w:rsidRPr="001A5A38">
        <w:rPr>
          <w:rFonts w:ascii="Arial" w:eastAsia="Times New Roman" w:hAnsi="Arial" w:cs="Arial"/>
          <w:color w:val="111111"/>
          <w:sz w:val="20"/>
          <w:szCs w:val="20"/>
          <w:lang w:eastAsia="es-AR"/>
        </w:rPr>
        <w:t>ARTÍCULO 14.- Sustitúyase la Tabla III del Anexo I de la Resolución S.R.T. N° 3.327 de fecha 09 de diciembre de 2014, por el Anexo III IF-2019-87699049-APN-GP#SRT del presente cuerpo normativo.</w:t>
      </w:r>
    </w:p>
    <w:p w:rsidR="001A5A38" w:rsidRPr="001A5A38" w:rsidRDefault="001A5A38" w:rsidP="001A5A38">
      <w:pPr>
        <w:shd w:val="clear" w:color="auto" w:fill="F9F9F9"/>
        <w:spacing w:after="360" w:line="240" w:lineRule="auto"/>
        <w:jc w:val="both"/>
        <w:rPr>
          <w:rFonts w:ascii="Arial" w:eastAsia="Times New Roman" w:hAnsi="Arial" w:cs="Arial"/>
          <w:color w:val="111111"/>
          <w:sz w:val="20"/>
          <w:szCs w:val="20"/>
          <w:lang w:eastAsia="es-AR"/>
        </w:rPr>
      </w:pPr>
      <w:r w:rsidRPr="001A5A38">
        <w:rPr>
          <w:rFonts w:ascii="Arial" w:eastAsia="Times New Roman" w:hAnsi="Arial" w:cs="Arial"/>
          <w:color w:val="111111"/>
          <w:sz w:val="20"/>
          <w:szCs w:val="20"/>
          <w:lang w:eastAsia="es-AR"/>
        </w:rPr>
        <w:t xml:space="preserve">ARTÍCULO 15.- </w:t>
      </w:r>
      <w:proofErr w:type="spellStart"/>
      <w:r w:rsidRPr="001A5A38">
        <w:rPr>
          <w:rFonts w:ascii="Arial" w:eastAsia="Times New Roman" w:hAnsi="Arial" w:cs="Arial"/>
          <w:color w:val="111111"/>
          <w:sz w:val="20"/>
          <w:szCs w:val="20"/>
          <w:lang w:eastAsia="es-AR"/>
        </w:rPr>
        <w:t>Deróganse</w:t>
      </w:r>
      <w:proofErr w:type="spellEnd"/>
      <w:r w:rsidRPr="001A5A38">
        <w:rPr>
          <w:rFonts w:ascii="Arial" w:eastAsia="Times New Roman" w:hAnsi="Arial" w:cs="Arial"/>
          <w:color w:val="111111"/>
          <w:sz w:val="20"/>
          <w:szCs w:val="20"/>
          <w:lang w:eastAsia="es-AR"/>
        </w:rPr>
        <w:t xml:space="preserve"> las Resoluciones S.R.T. N° 415 de fecha 21 de octubre de 2002, N° 497 de fecha 01 de septiembre de 2003, N° 583 de fecha 17 de mayo de 2007 y Nº 844 de fecha 07 de agosto de 2017 y la Disposición de la Gerencia de Prevención (G.P.) N° 2 de fecha 28 de mayo de 2014.</w:t>
      </w:r>
    </w:p>
    <w:p w:rsidR="001A5A38" w:rsidRPr="001A5A38" w:rsidRDefault="001A5A38" w:rsidP="001A5A38">
      <w:pPr>
        <w:shd w:val="clear" w:color="auto" w:fill="F9F9F9"/>
        <w:spacing w:after="360" w:line="240" w:lineRule="auto"/>
        <w:jc w:val="both"/>
        <w:rPr>
          <w:rFonts w:ascii="Arial" w:eastAsia="Times New Roman" w:hAnsi="Arial" w:cs="Arial"/>
          <w:color w:val="111111"/>
          <w:sz w:val="20"/>
          <w:szCs w:val="20"/>
          <w:lang w:eastAsia="es-AR"/>
        </w:rPr>
      </w:pPr>
      <w:r w:rsidRPr="001A5A38">
        <w:rPr>
          <w:rFonts w:ascii="Arial" w:eastAsia="Times New Roman" w:hAnsi="Arial" w:cs="Arial"/>
          <w:color w:val="111111"/>
          <w:sz w:val="20"/>
          <w:szCs w:val="20"/>
          <w:lang w:eastAsia="es-AR"/>
        </w:rPr>
        <w:t>ARTÍCULO 16.- La presente resolución entrará en vigencia el primer día hábil del año 2020, con excepción de lo dispuesto en los artículos 4° y 10, los que entrarán en vigencia el día siguiente al de la publicación en el Boletín Oficial.</w:t>
      </w:r>
    </w:p>
    <w:p w:rsidR="001A5A38" w:rsidRPr="001A5A38" w:rsidRDefault="001A5A38" w:rsidP="001A5A38">
      <w:pPr>
        <w:shd w:val="clear" w:color="auto" w:fill="F9F9F9"/>
        <w:spacing w:after="360" w:line="240" w:lineRule="auto"/>
        <w:jc w:val="both"/>
        <w:rPr>
          <w:rFonts w:ascii="Arial" w:eastAsia="Times New Roman" w:hAnsi="Arial" w:cs="Arial"/>
          <w:color w:val="111111"/>
          <w:sz w:val="20"/>
          <w:szCs w:val="20"/>
          <w:lang w:eastAsia="es-AR"/>
        </w:rPr>
      </w:pPr>
      <w:r w:rsidRPr="001A5A38">
        <w:rPr>
          <w:rFonts w:ascii="Arial" w:eastAsia="Times New Roman" w:hAnsi="Arial" w:cs="Arial"/>
          <w:color w:val="111111"/>
          <w:sz w:val="20"/>
          <w:szCs w:val="20"/>
          <w:lang w:eastAsia="es-AR"/>
        </w:rPr>
        <w:t>ARTÍCULO 17.- Comuníquese, publíquese, dese a la DIRECCIÓN NACIONAL DEL REGISTRO OFICIAL, y archívese. Gustavo Dario Moron</w:t>
      </w:r>
    </w:p>
    <w:p w:rsidR="002A5AC8" w:rsidRPr="001A5A38" w:rsidRDefault="002A5AC8">
      <w:pPr>
        <w:rPr>
          <w:rFonts w:ascii="Arial" w:hAnsi="Arial" w:cs="Arial"/>
          <w:sz w:val="20"/>
          <w:szCs w:val="20"/>
        </w:rPr>
      </w:pPr>
    </w:p>
    <w:sectPr w:rsidR="002A5AC8" w:rsidRPr="001A5A38" w:rsidSect="001A5A38">
      <w:pgSz w:w="11907" w:h="16839" w:code="9"/>
      <w:pgMar w:top="1701" w:right="1418"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A38"/>
    <w:rsid w:val="001A5A38"/>
    <w:rsid w:val="002A5AC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1A5A3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AR"/>
    </w:rPr>
  </w:style>
  <w:style w:type="paragraph" w:styleId="Ttulo2">
    <w:name w:val="heading 2"/>
    <w:basedOn w:val="Normal"/>
    <w:link w:val="Ttulo2Car"/>
    <w:uiPriority w:val="9"/>
    <w:qFormat/>
    <w:rsid w:val="001A5A38"/>
    <w:pPr>
      <w:spacing w:before="100" w:beforeAutospacing="1" w:after="100" w:afterAutospacing="1" w:line="240" w:lineRule="auto"/>
      <w:outlineLvl w:val="1"/>
    </w:pPr>
    <w:rPr>
      <w:rFonts w:ascii="Times New Roman" w:eastAsia="Times New Roman" w:hAnsi="Times New Roman" w:cs="Times New Roman"/>
      <w:b/>
      <w:bCs/>
      <w:sz w:val="36"/>
      <w:szCs w:val="36"/>
      <w:lang w:eastAsia="es-AR"/>
    </w:rPr>
  </w:style>
  <w:style w:type="paragraph" w:styleId="Ttulo6">
    <w:name w:val="heading 6"/>
    <w:basedOn w:val="Normal"/>
    <w:link w:val="Ttulo6Car"/>
    <w:uiPriority w:val="9"/>
    <w:qFormat/>
    <w:rsid w:val="001A5A38"/>
    <w:pPr>
      <w:spacing w:before="100" w:beforeAutospacing="1" w:after="100" w:afterAutospacing="1" w:line="240" w:lineRule="auto"/>
      <w:outlineLvl w:val="5"/>
    </w:pPr>
    <w:rPr>
      <w:rFonts w:ascii="Times New Roman" w:eastAsia="Times New Roman" w:hAnsi="Times New Roman" w:cs="Times New Roman"/>
      <w:b/>
      <w:bCs/>
      <w:sz w:val="15"/>
      <w:szCs w:val="15"/>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A5A38"/>
    <w:rPr>
      <w:rFonts w:ascii="Times New Roman" w:eastAsia="Times New Roman" w:hAnsi="Times New Roman" w:cs="Times New Roman"/>
      <w:b/>
      <w:bCs/>
      <w:kern w:val="36"/>
      <w:sz w:val="48"/>
      <w:szCs w:val="48"/>
      <w:lang w:eastAsia="es-AR"/>
    </w:rPr>
  </w:style>
  <w:style w:type="character" w:customStyle="1" w:styleId="Ttulo2Car">
    <w:name w:val="Título 2 Car"/>
    <w:basedOn w:val="Fuentedeprrafopredeter"/>
    <w:link w:val="Ttulo2"/>
    <w:uiPriority w:val="9"/>
    <w:rsid w:val="001A5A38"/>
    <w:rPr>
      <w:rFonts w:ascii="Times New Roman" w:eastAsia="Times New Roman" w:hAnsi="Times New Roman" w:cs="Times New Roman"/>
      <w:b/>
      <w:bCs/>
      <w:sz w:val="36"/>
      <w:szCs w:val="36"/>
      <w:lang w:eastAsia="es-AR"/>
    </w:rPr>
  </w:style>
  <w:style w:type="character" w:customStyle="1" w:styleId="Ttulo6Car">
    <w:name w:val="Título 6 Car"/>
    <w:basedOn w:val="Fuentedeprrafopredeter"/>
    <w:link w:val="Ttulo6"/>
    <w:uiPriority w:val="9"/>
    <w:rsid w:val="001A5A38"/>
    <w:rPr>
      <w:rFonts w:ascii="Times New Roman" w:eastAsia="Times New Roman" w:hAnsi="Times New Roman" w:cs="Times New Roman"/>
      <w:b/>
      <w:bCs/>
      <w:sz w:val="15"/>
      <w:szCs w:val="15"/>
      <w:lang w:eastAsia="es-AR"/>
    </w:rPr>
  </w:style>
  <w:style w:type="paragraph" w:styleId="NormalWeb">
    <w:name w:val="Normal (Web)"/>
    <w:basedOn w:val="Normal"/>
    <w:uiPriority w:val="99"/>
    <w:semiHidden/>
    <w:unhideWhenUsed/>
    <w:rsid w:val="001A5A38"/>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1A5A3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AR"/>
    </w:rPr>
  </w:style>
  <w:style w:type="paragraph" w:styleId="Ttulo2">
    <w:name w:val="heading 2"/>
    <w:basedOn w:val="Normal"/>
    <w:link w:val="Ttulo2Car"/>
    <w:uiPriority w:val="9"/>
    <w:qFormat/>
    <w:rsid w:val="001A5A38"/>
    <w:pPr>
      <w:spacing w:before="100" w:beforeAutospacing="1" w:after="100" w:afterAutospacing="1" w:line="240" w:lineRule="auto"/>
      <w:outlineLvl w:val="1"/>
    </w:pPr>
    <w:rPr>
      <w:rFonts w:ascii="Times New Roman" w:eastAsia="Times New Roman" w:hAnsi="Times New Roman" w:cs="Times New Roman"/>
      <w:b/>
      <w:bCs/>
      <w:sz w:val="36"/>
      <w:szCs w:val="36"/>
      <w:lang w:eastAsia="es-AR"/>
    </w:rPr>
  </w:style>
  <w:style w:type="paragraph" w:styleId="Ttulo6">
    <w:name w:val="heading 6"/>
    <w:basedOn w:val="Normal"/>
    <w:link w:val="Ttulo6Car"/>
    <w:uiPriority w:val="9"/>
    <w:qFormat/>
    <w:rsid w:val="001A5A38"/>
    <w:pPr>
      <w:spacing w:before="100" w:beforeAutospacing="1" w:after="100" w:afterAutospacing="1" w:line="240" w:lineRule="auto"/>
      <w:outlineLvl w:val="5"/>
    </w:pPr>
    <w:rPr>
      <w:rFonts w:ascii="Times New Roman" w:eastAsia="Times New Roman" w:hAnsi="Times New Roman" w:cs="Times New Roman"/>
      <w:b/>
      <w:bCs/>
      <w:sz w:val="15"/>
      <w:szCs w:val="15"/>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A5A38"/>
    <w:rPr>
      <w:rFonts w:ascii="Times New Roman" w:eastAsia="Times New Roman" w:hAnsi="Times New Roman" w:cs="Times New Roman"/>
      <w:b/>
      <w:bCs/>
      <w:kern w:val="36"/>
      <w:sz w:val="48"/>
      <w:szCs w:val="48"/>
      <w:lang w:eastAsia="es-AR"/>
    </w:rPr>
  </w:style>
  <w:style w:type="character" w:customStyle="1" w:styleId="Ttulo2Car">
    <w:name w:val="Título 2 Car"/>
    <w:basedOn w:val="Fuentedeprrafopredeter"/>
    <w:link w:val="Ttulo2"/>
    <w:uiPriority w:val="9"/>
    <w:rsid w:val="001A5A38"/>
    <w:rPr>
      <w:rFonts w:ascii="Times New Roman" w:eastAsia="Times New Roman" w:hAnsi="Times New Roman" w:cs="Times New Roman"/>
      <w:b/>
      <w:bCs/>
      <w:sz w:val="36"/>
      <w:szCs w:val="36"/>
      <w:lang w:eastAsia="es-AR"/>
    </w:rPr>
  </w:style>
  <w:style w:type="character" w:customStyle="1" w:styleId="Ttulo6Car">
    <w:name w:val="Título 6 Car"/>
    <w:basedOn w:val="Fuentedeprrafopredeter"/>
    <w:link w:val="Ttulo6"/>
    <w:uiPriority w:val="9"/>
    <w:rsid w:val="001A5A38"/>
    <w:rPr>
      <w:rFonts w:ascii="Times New Roman" w:eastAsia="Times New Roman" w:hAnsi="Times New Roman" w:cs="Times New Roman"/>
      <w:b/>
      <w:bCs/>
      <w:sz w:val="15"/>
      <w:szCs w:val="15"/>
      <w:lang w:eastAsia="es-AR"/>
    </w:rPr>
  </w:style>
  <w:style w:type="paragraph" w:styleId="NormalWeb">
    <w:name w:val="Normal (Web)"/>
    <w:basedOn w:val="Normal"/>
    <w:uiPriority w:val="99"/>
    <w:semiHidden/>
    <w:unhideWhenUsed/>
    <w:rsid w:val="001A5A38"/>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6231595">
      <w:bodyDiv w:val="1"/>
      <w:marLeft w:val="0"/>
      <w:marRight w:val="0"/>
      <w:marTop w:val="0"/>
      <w:marBottom w:val="0"/>
      <w:divBdr>
        <w:top w:val="none" w:sz="0" w:space="0" w:color="auto"/>
        <w:left w:val="none" w:sz="0" w:space="0" w:color="auto"/>
        <w:bottom w:val="none" w:sz="0" w:space="0" w:color="auto"/>
        <w:right w:val="none" w:sz="0" w:space="0" w:color="auto"/>
      </w:divBdr>
      <w:divsChild>
        <w:div w:id="1336764951">
          <w:marLeft w:val="0"/>
          <w:marRight w:val="0"/>
          <w:marTop w:val="0"/>
          <w:marBottom w:val="225"/>
          <w:divBdr>
            <w:top w:val="none" w:sz="0" w:space="0" w:color="auto"/>
            <w:left w:val="none" w:sz="0" w:space="0" w:color="auto"/>
            <w:bottom w:val="none" w:sz="0" w:space="0" w:color="auto"/>
            <w:right w:val="none" w:sz="0" w:space="0" w:color="auto"/>
          </w:divBdr>
        </w:div>
        <w:div w:id="506361594">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2298</Words>
  <Characters>12644</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Guillermo Mitchell</dc:creator>
  <cp:lastModifiedBy>Guillermo Mitchell</cp:lastModifiedBy>
  <cp:revision>1</cp:revision>
  <dcterms:created xsi:type="dcterms:W3CDTF">2019-10-10T11:57:00Z</dcterms:created>
  <dcterms:modified xsi:type="dcterms:W3CDTF">2019-10-10T11:59:00Z</dcterms:modified>
</cp:coreProperties>
</file>